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580" w:hanging="547"/>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9" w:lineRule="exact"/>
        <w:rPr>
          <w:sz w:val="24"/>
          <w:szCs w:val="24"/>
          <w:color w:val="auto"/>
        </w:rPr>
      </w:pPr>
    </w:p>
    <w:p>
      <w:pPr>
        <w:ind w:left="580" w:hanging="547"/>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Prime Medicine,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tcPr>
          <w:p>
            <w:pPr>
              <w:jc w:val="right"/>
              <w:ind w:right="1604"/>
              <w:spacing w:after="0"/>
              <w:rPr>
                <w:sz w:val="20"/>
                <w:szCs w:val="20"/>
                <w:color w:val="auto"/>
              </w:rPr>
            </w:pPr>
            <w:r>
              <w:rPr>
                <w:rFonts w:ascii="Times New Roman" w:cs="Times New Roman" w:eastAsia="Times New Roman" w:hAnsi="Times New Roman"/>
                <w:sz w:val="18"/>
                <w:szCs w:val="18"/>
                <w:b w:val="1"/>
                <w:bCs w:val="1"/>
                <w:color w:val="auto"/>
              </w:rPr>
              <w:t>84-3097762</w:t>
            </w:r>
          </w:p>
        </w:tc>
        <w:tc>
          <w:tcPr>
            <w:tcW w:w="0" w:type="dxa"/>
            <w:vAlign w:val="bottom"/>
          </w:tcPr>
          <w:p>
            <w:pPr>
              <w:spacing w:after="0"/>
              <w:rPr>
                <w:sz w:val="1"/>
                <w:szCs w:val="1"/>
                <w:color w:val="auto"/>
              </w:rPr>
            </w:pPr>
          </w:p>
        </w:tc>
      </w:tr>
      <w:tr>
        <w:trPr>
          <w:trHeight w:val="362"/>
        </w:trPr>
        <w:tc>
          <w:tcPr>
            <w:tcW w:w="40" w:type="dxa"/>
            <w:vAlign w:val="bottom"/>
          </w:tcPr>
          <w:p>
            <w:pPr>
              <w:spacing w:after="0"/>
              <w:rPr>
                <w:sz w:val="24"/>
                <w:szCs w:val="24"/>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jc w:val="center"/>
              <w:ind w:right="504"/>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c>
          <w:tcPr>
            <w:tcW w:w="0" w:type="dxa"/>
            <w:vAlign w:val="bottom"/>
          </w:tcPr>
          <w:p>
            <w:pPr>
              <w:spacing w:after="0"/>
              <w:rPr>
                <w:sz w:val="1"/>
                <w:szCs w:val="1"/>
                <w:color w:val="auto"/>
              </w:rPr>
            </w:pPr>
          </w:p>
        </w:tc>
      </w:tr>
      <w:tr>
        <w:trPr>
          <w:trHeight w:val="489"/>
        </w:trPr>
        <w:tc>
          <w:tcPr>
            <w:tcW w:w="40" w:type="dxa"/>
            <w:vAlign w:val="bottom"/>
          </w:tcPr>
          <w:p>
            <w:pPr>
              <w:spacing w:after="0"/>
              <w:rPr>
                <w:sz w:val="24"/>
                <w:szCs w:val="24"/>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60 First Street, Cambridge, MA</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jc w:val="right"/>
              <w:ind w:right="1804"/>
              <w:spacing w:after="0"/>
              <w:rPr>
                <w:sz w:val="20"/>
                <w:szCs w:val="20"/>
                <w:color w:val="auto"/>
              </w:rPr>
            </w:pPr>
            <w:r>
              <w:rPr>
                <w:rFonts w:ascii="Times New Roman" w:cs="Times New Roman" w:eastAsia="Times New Roman" w:hAnsi="Times New Roman"/>
                <w:sz w:val="18"/>
                <w:szCs w:val="18"/>
                <w:b w:val="1"/>
                <w:bCs w:val="1"/>
                <w:color w:val="auto"/>
              </w:rPr>
              <w:t>02141</w:t>
            </w:r>
          </w:p>
        </w:tc>
        <w:tc>
          <w:tcPr>
            <w:tcW w:w="0" w:type="dxa"/>
            <w:vAlign w:val="bottom"/>
          </w:tcPr>
          <w:p>
            <w:pPr>
              <w:spacing w:after="0"/>
              <w:rPr>
                <w:sz w:val="1"/>
                <w:szCs w:val="1"/>
                <w:color w:val="auto"/>
              </w:rPr>
            </w:pPr>
          </w:p>
        </w:tc>
      </w:tr>
      <w:tr>
        <w:trPr>
          <w:trHeight w:val="362"/>
        </w:trPr>
        <w:tc>
          <w:tcPr>
            <w:tcW w:w="40" w:type="dxa"/>
            <w:vAlign w:val="bottom"/>
          </w:tcPr>
          <w:p>
            <w:pPr>
              <w:spacing w:after="0"/>
              <w:rPr>
                <w:sz w:val="24"/>
                <w:szCs w:val="24"/>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jc w:val="center"/>
              <w:ind w:right="504"/>
              <w:spacing w:after="0"/>
              <w:rPr>
                <w:sz w:val="20"/>
                <w:szCs w:val="20"/>
                <w:color w:val="auto"/>
              </w:rPr>
            </w:pPr>
            <w:r>
              <w:rPr>
                <w:rFonts w:ascii="Times New Roman" w:cs="Times New Roman" w:eastAsia="Times New Roman" w:hAnsi="Times New Roman"/>
                <w:sz w:val="13"/>
                <w:szCs w:val="13"/>
                <w:b w:val="1"/>
                <w:bCs w:val="1"/>
                <w:color w:val="auto"/>
                <w:w w:val="95"/>
              </w:rPr>
              <w:t>(Zip code)</w:t>
            </w:r>
          </w:p>
        </w:tc>
        <w:tc>
          <w:tcPr>
            <w:tcW w:w="0" w:type="dxa"/>
            <w:vAlign w:val="bottom"/>
          </w:tcPr>
          <w:p>
            <w:pPr>
              <w:spacing w:after="0"/>
              <w:rPr>
                <w:sz w:val="1"/>
                <w:szCs w:val="1"/>
                <w:color w:val="auto"/>
              </w:rPr>
            </w:pPr>
          </w:p>
        </w:tc>
      </w:tr>
      <w:tr>
        <w:trPr>
          <w:trHeight w:val="626"/>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b w:val="1"/>
                <w:bCs w:val="1"/>
                <w:color w:val="auto"/>
                <w:w w:val="99"/>
              </w:rPr>
              <w:t>(617) 465-0013</w:t>
            </w: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Not applicable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3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3700" w:type="dxa"/>
            <w:vAlign w:val="bottom"/>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80" w:type="dxa"/>
            <w:vAlign w:val="bottom"/>
          </w:tcPr>
          <w:p>
            <w:pPr>
              <w:spacing w:after="0"/>
              <w:rPr>
                <w:sz w:val="16"/>
                <w:szCs w:val="16"/>
                <w:color w:val="auto"/>
              </w:rPr>
            </w:pPr>
          </w:p>
        </w:tc>
        <w:tc>
          <w:tcPr>
            <w:tcW w:w="3640" w:type="dxa"/>
            <w:vAlign w:val="bottom"/>
            <w:tcBorders>
              <w:right w:val="single" w:sz="8" w:color="auto"/>
            </w:tcBorders>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700" w:type="dxa"/>
            <w:vAlign w:val="bottom"/>
          </w:tcPr>
          <w:p>
            <w:pPr>
              <w:jc w:val="center"/>
              <w:ind w:left="524"/>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6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PRME</w:t>
            </w:r>
          </w:p>
        </w:tc>
        <w:tc>
          <w:tcPr>
            <w:tcW w:w="680" w:type="dxa"/>
            <w:vAlign w:val="bottom"/>
          </w:tcPr>
          <w:p>
            <w:pPr>
              <w:spacing w:after="0"/>
              <w:rPr>
                <w:sz w:val="18"/>
                <w:szCs w:val="18"/>
                <w:color w:val="auto"/>
              </w:rPr>
            </w:pPr>
          </w:p>
        </w:tc>
        <w:tc>
          <w:tcPr>
            <w:tcW w:w="3640" w:type="dxa"/>
            <w:vAlign w:val="bottom"/>
            <w:tcBorders>
              <w:right w:val="single" w:sz="8" w:color="auto"/>
            </w:tcBorders>
          </w:tcPr>
          <w:p>
            <w:pPr>
              <w:jc w:val="center"/>
              <w:ind w:right="644"/>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3" w:lineRule="exact"/>
        <w:rPr>
          <w:sz w:val="24"/>
          <w:szCs w:val="24"/>
          <w:color w:val="auto"/>
        </w:rPr>
      </w:pPr>
    </w:p>
    <w:p>
      <w:pPr>
        <w:ind w:right="40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36" w:lineRule="exact"/>
        <w:rPr>
          <w:sz w:val="24"/>
          <w:szCs w:val="24"/>
          <w:color w:val="auto"/>
        </w:rPr>
      </w:pPr>
    </w:p>
    <w:p>
      <w:pPr>
        <w:ind w:right="600"/>
        <w:spacing w:after="0" w:line="213"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 w:lineRule="exact"/>
        <w:rPr>
          <w:sz w:val="24"/>
          <w:szCs w:val="24"/>
          <w:color w:val="auto"/>
        </w:rPr>
      </w:pPr>
    </w:p>
    <w:p>
      <w:pPr>
        <w:ind w:right="2560"/>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 registrant had 180,617,451 shares of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817" w:gutter="0" w:footer="0" w:header="0"/>
        </w:sectPr>
      </w:pPr>
    </w:p>
    <w:bookmarkStart w:id="1" w:name="page2"/>
    <w:bookmarkEnd w:id="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strategy, future operations, future financial position, future revenue, projected costs, prospects, plans, and objectives of management, are forward-looking statements, which are based on management’s belief and assumptions and on information currently available to our management. These statements involve substantial risks, assumptions and uncertainties. The words “anticipate,” “believe,” “envision,” “estimate,” “expect,” “goal,” “intend,” “may,” “plan,” “predict,” “project,” “strategy,” “target,” “potential,” “will,” “would,” “could,” “should,” “continue,” “contemplate,” “vision” and similar expressions are intended to identify forward-looking statements, although not all forward-looking statements contain these identifying words.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statements about:</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product candidates, and ongoing and future preclinical studies and future clinical trials;</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demonstrate, and the timing of, preclinical proof-of-concept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for multiple programs;</w:t>
      </w:r>
    </w:p>
    <w:p>
      <w:pPr>
        <w:spacing w:after="0" w:line="17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current and future product candidates that we may identify and successfully complete any clinical trials, including the manufacture of any such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our areas of focus and any other additional programs we may advance;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or IND, application submissions;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Prime Editing technology to address unmet medical needs in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programs and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protection we are able to establish and maintain for intellectual property rights covering our Prime Editing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made by gene therapy and gene editing programs to accelerate our clinical trials and approval of product candidates;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or strategic relationships, to identify and enter into future license agreements and collaborations on favorable terms, if at all, and to realize the intended and potential benefits of such agreements and collaborations;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Prime Editing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expenses, capital requirements and needs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regulatory interactions with the U.S. Food and Drug Administration, or FDA, based on the data from our Phase 1/2 trial of PM359 for the treatment of chronic granulomatous disease, or CGD, and the outcomes of any such interactions;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macroeconomic conditions or market volatility resulting from national or global economic conditions or geopolitical developments, including inflationary pressures and capital market disruptions, changes in or disruptions of U.S. governmental agencies, whether from a U.S. federal government shutdown or reduced resources, new or increased international tariffs and retaliatory tariffs, trade protection measures, military conflicts, economic sanctions and economic slowdowns or recessions that may result from such developments which could harm our research and development efforts as well as the value of our securities and our ability to access capital markets;</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anticipated timeline of our cash runway, future financial performance and our ability to continue as a going concern;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these statements may be affected by inaccurate assumptions or by known or unknown risks and uncertainties.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subsequent Securities and Exchange Commission, or SEC, filings, particularly in the “Risk Factors” section, that we believe could cause actual results or events to differ materially from the forward-looking statements that we make. Unless otherwise disclosed, our forward-looking statements do not reflect the potential impact of any future acquisitions, mergers, dispositions, collaborations, joint ventures or investments we may make or enter into.</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our other filings with the SEC completely and with the understanding that our actual future results may be materially different from what we expect. The forward-looking statements contained in this Quarterly Report on Form 10-Q are made as of the date hereof, and we do not assume any obligation to update any forward-looking statements, whether as a result of new information, future events or otherwise after the date of such statements, except as required by applicable law.</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our product candidates. Such information is inherently subject to uncertainties and actual events or circumstances may differ materially from events and circumstances that are assumed in this information. Unless otherwise expressly stated, we obtained statistical and other industry and market data from our own internal estimates and research, as well as from reports, industry publications and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set forth in Part II, Item 1A of this Quarterly Report on Form 10-Q, if any, our Annual Report on Form 10-K that was filed with the SEC on March 3, 2026, and in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33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6980" w:type="dxa"/>
            <w:vAlign w:val="bottom"/>
            <w:gridSpan w:val="9"/>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3051F2"/>
            </w:tcBorders>
            <w:gridSpan w:val="10"/>
            <w:vMerge w:val="continue"/>
          </w:tcPr>
          <w:p>
            <w:pPr>
              <w:spacing w:after="0"/>
              <w:rPr>
                <w:sz w:val="16"/>
                <w:szCs w:val="16"/>
                <w:color w:val="auto"/>
              </w:rPr>
            </w:pPr>
          </w:p>
        </w:tc>
        <w:tc>
          <w:tcPr>
            <w:tcW w:w="6980" w:type="dxa"/>
            <w:vAlign w:val="bottom"/>
            <w:gridSpan w:val="9"/>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bottom w:val="single" w:sz="8" w:color="3051F2"/>
            </w:tcBorders>
          </w:tcPr>
          <w:p>
            <w:pPr>
              <w:jc w:val="center"/>
              <w:spacing w:after="0" w:line="169" w:lineRule="exact"/>
              <w:rPr>
                <w:sz w:val="20"/>
                <w:szCs w:val="20"/>
                <w:color w:val="auto"/>
              </w:rPr>
            </w:pPr>
            <w:r>
              <w:rPr>
                <w:rFonts w:ascii="Times New Roman" w:cs="Times New Roman" w:eastAsia="Times New Roman" w:hAnsi="Times New Roman"/>
                <w:sz w:val="18"/>
                <w:szCs w:val="18"/>
                <w:color w:val="3051F2"/>
              </w:rPr>
              <w:t>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Financial Statements (unaudited)</w:t>
            </w:r>
          </w:p>
        </w:tc>
        <w:tc>
          <w:tcPr>
            <w:tcW w:w="6920" w:type="dxa"/>
            <w:vAlign w:val="bottom"/>
            <w:gridSpan w:val="8"/>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628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Condensed Consolidated Balance Sheets as of March 31, 2026 and December 31, 2025</w:t>
            </w:r>
          </w:p>
        </w:tc>
        <w:tc>
          <w:tcPr>
            <w:tcW w:w="302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3051F2"/>
              </w:rPr>
              <w:t>Condensed Consolidated Statements of Operations and Comprehensive Loss for the Three Months Ended March 31, 2026 and</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60" w:type="dxa"/>
            <w:vAlign w:val="bottom"/>
            <w:tcBorders>
              <w:top w:val="single" w:sz="8" w:color="3051F2"/>
              <w:bottom w:val="single" w:sz="8" w:color="3051F2"/>
            </w:tcBorders>
          </w:tcPr>
          <w:p>
            <w:pPr>
              <w:spacing w:after="0" w:line="196" w:lineRule="exact"/>
              <w:rPr>
                <w:sz w:val="20"/>
                <w:szCs w:val="20"/>
                <w:color w:val="auto"/>
              </w:rPr>
            </w:pPr>
            <w:r>
              <w:rPr>
                <w:rFonts w:ascii="Times New Roman" w:cs="Times New Roman" w:eastAsia="Times New Roman" w:hAnsi="Times New Roman"/>
                <w:sz w:val="18"/>
                <w:szCs w:val="18"/>
                <w:color w:val="3051F2"/>
                <w:w w:val="94"/>
              </w:rPr>
              <w:t>2025</w:t>
            </w:r>
          </w:p>
        </w:tc>
        <w:tc>
          <w:tcPr>
            <w:tcW w:w="240" w:type="dxa"/>
            <w:vAlign w:val="bottom"/>
            <w:tcBorders>
              <w:top w:val="single" w:sz="8" w:color="3051F2"/>
            </w:tcBorders>
          </w:tcPr>
          <w:p>
            <w:pPr>
              <w:spacing w:after="0"/>
              <w:rPr>
                <w:sz w:val="17"/>
                <w:szCs w:val="17"/>
                <w:color w:val="auto"/>
              </w:rPr>
            </w:pPr>
          </w:p>
        </w:tc>
        <w:tc>
          <w:tcPr>
            <w:tcW w:w="160" w:type="dxa"/>
            <w:vAlign w:val="bottom"/>
            <w:tcBorders>
              <w:top w:val="single" w:sz="8" w:color="3051F2"/>
            </w:tcBorders>
          </w:tcPr>
          <w:p>
            <w:pPr>
              <w:spacing w:after="0"/>
              <w:rPr>
                <w:sz w:val="17"/>
                <w:szCs w:val="17"/>
                <w:color w:val="auto"/>
              </w:rPr>
            </w:pPr>
          </w:p>
        </w:tc>
        <w:tc>
          <w:tcPr>
            <w:tcW w:w="140" w:type="dxa"/>
            <w:vAlign w:val="bottom"/>
            <w:tcBorders>
              <w:top w:val="single" w:sz="8" w:color="3051F2"/>
            </w:tcBorders>
          </w:tcPr>
          <w:p>
            <w:pPr>
              <w:spacing w:after="0"/>
              <w:rPr>
                <w:sz w:val="17"/>
                <w:szCs w:val="17"/>
                <w:color w:val="auto"/>
              </w:rPr>
            </w:pPr>
          </w:p>
        </w:tc>
        <w:tc>
          <w:tcPr>
            <w:tcW w:w="420" w:type="dxa"/>
            <w:vAlign w:val="bottom"/>
            <w:tcBorders>
              <w:top w:val="single" w:sz="8" w:color="3051F2"/>
            </w:tcBorders>
          </w:tcPr>
          <w:p>
            <w:pPr>
              <w:spacing w:after="0"/>
              <w:rPr>
                <w:sz w:val="17"/>
                <w:szCs w:val="17"/>
                <w:color w:val="auto"/>
              </w:rPr>
            </w:pPr>
          </w:p>
        </w:tc>
        <w:tc>
          <w:tcPr>
            <w:tcW w:w="260" w:type="dxa"/>
            <w:vAlign w:val="bottom"/>
            <w:tcBorders>
              <w:top w:val="single" w:sz="8" w:color="3051F2"/>
            </w:tcBorders>
          </w:tcPr>
          <w:p>
            <w:pPr>
              <w:spacing w:after="0"/>
              <w:rPr>
                <w:sz w:val="17"/>
                <w:szCs w:val="17"/>
                <w:color w:val="auto"/>
              </w:rPr>
            </w:pPr>
          </w:p>
        </w:tc>
        <w:tc>
          <w:tcPr>
            <w:tcW w:w="120" w:type="dxa"/>
            <w:vAlign w:val="bottom"/>
            <w:tcBorders>
              <w:top w:val="single" w:sz="8" w:color="3051F2"/>
            </w:tcBorders>
          </w:tcPr>
          <w:p>
            <w:pPr>
              <w:spacing w:after="0"/>
              <w:rPr>
                <w:sz w:val="17"/>
                <w:szCs w:val="17"/>
                <w:color w:val="auto"/>
              </w:rPr>
            </w:pPr>
          </w:p>
        </w:tc>
        <w:tc>
          <w:tcPr>
            <w:tcW w:w="180" w:type="dxa"/>
            <w:vAlign w:val="bottom"/>
            <w:tcBorders>
              <w:top w:val="single" w:sz="8" w:color="3051F2"/>
            </w:tcBorders>
          </w:tcPr>
          <w:p>
            <w:pPr>
              <w:spacing w:after="0"/>
              <w:rPr>
                <w:sz w:val="17"/>
                <w:szCs w:val="17"/>
                <w:color w:val="auto"/>
              </w:rPr>
            </w:pPr>
          </w:p>
        </w:tc>
        <w:tc>
          <w:tcPr>
            <w:tcW w:w="440" w:type="dxa"/>
            <w:vAlign w:val="bottom"/>
            <w:tcBorders>
              <w:top w:val="single" w:sz="8" w:color="3051F2"/>
            </w:tcBorders>
          </w:tcPr>
          <w:p>
            <w:pPr>
              <w:spacing w:after="0"/>
              <w:rPr>
                <w:sz w:val="17"/>
                <w:szCs w:val="17"/>
                <w:color w:val="auto"/>
              </w:rPr>
            </w:pPr>
          </w:p>
        </w:tc>
        <w:tc>
          <w:tcPr>
            <w:tcW w:w="60" w:type="dxa"/>
            <w:vAlign w:val="bottom"/>
            <w:tcBorders>
              <w:top w:val="single" w:sz="8" w:color="3051F2"/>
            </w:tcBorders>
          </w:tcPr>
          <w:p>
            <w:pPr>
              <w:spacing w:after="0"/>
              <w:rPr>
                <w:sz w:val="17"/>
                <w:szCs w:val="17"/>
                <w:color w:val="auto"/>
              </w:rPr>
            </w:pPr>
          </w:p>
        </w:tc>
        <w:tc>
          <w:tcPr>
            <w:tcW w:w="1620" w:type="dxa"/>
            <w:vAlign w:val="bottom"/>
            <w:tcBorders>
              <w:top w:val="single" w:sz="8" w:color="3051F2"/>
            </w:tcBorders>
          </w:tcPr>
          <w:p>
            <w:pPr>
              <w:spacing w:after="0"/>
              <w:rPr>
                <w:sz w:val="17"/>
                <w:szCs w:val="17"/>
                <w:color w:val="auto"/>
              </w:rPr>
            </w:pPr>
          </w:p>
        </w:tc>
        <w:tc>
          <w:tcPr>
            <w:tcW w:w="340" w:type="dxa"/>
            <w:vAlign w:val="bottom"/>
            <w:tcBorders>
              <w:top w:val="single" w:sz="8" w:color="3051F2"/>
            </w:tcBorders>
          </w:tcPr>
          <w:p>
            <w:pPr>
              <w:spacing w:after="0"/>
              <w:rPr>
                <w:sz w:val="17"/>
                <w:szCs w:val="17"/>
                <w:color w:val="auto"/>
              </w:rPr>
            </w:pPr>
          </w:p>
        </w:tc>
        <w:tc>
          <w:tcPr>
            <w:tcW w:w="1940" w:type="dxa"/>
            <w:vAlign w:val="bottom"/>
            <w:tcBorders>
              <w:top w:val="single" w:sz="8" w:color="3051F2"/>
            </w:tcBorders>
          </w:tcPr>
          <w:p>
            <w:pPr>
              <w:spacing w:after="0"/>
              <w:rPr>
                <w:sz w:val="17"/>
                <w:szCs w:val="17"/>
                <w:color w:val="auto"/>
              </w:rPr>
            </w:pPr>
          </w:p>
        </w:tc>
        <w:tc>
          <w:tcPr>
            <w:tcW w:w="180" w:type="dxa"/>
            <w:vAlign w:val="bottom"/>
            <w:tcBorders>
              <w:top w:val="single" w:sz="8" w:color="3051F2"/>
            </w:tcBorders>
          </w:tcPr>
          <w:p>
            <w:pPr>
              <w:spacing w:after="0"/>
              <w:rPr>
                <w:sz w:val="17"/>
                <w:szCs w:val="17"/>
                <w:color w:val="auto"/>
              </w:rPr>
            </w:pPr>
          </w:p>
        </w:tc>
        <w:tc>
          <w:tcPr>
            <w:tcW w:w="1240" w:type="dxa"/>
            <w:vAlign w:val="bottom"/>
            <w:tcBorders>
              <w:top w:val="single" w:sz="8" w:color="3051F2"/>
            </w:tcBorders>
          </w:tcPr>
          <w:p>
            <w:pPr>
              <w:spacing w:after="0"/>
              <w:rPr>
                <w:sz w:val="17"/>
                <w:szCs w:val="17"/>
                <w:color w:val="auto"/>
              </w:rPr>
            </w:pPr>
          </w:p>
        </w:tc>
        <w:tc>
          <w:tcPr>
            <w:tcW w:w="680" w:type="dxa"/>
            <w:vAlign w:val="bottom"/>
            <w:tcBorders>
              <w:top w:val="single" w:sz="8" w:color="3051F2"/>
            </w:tcBorders>
          </w:tcPr>
          <w:p>
            <w:pPr>
              <w:spacing w:after="0"/>
              <w:rPr>
                <w:sz w:val="17"/>
                <w:szCs w:val="17"/>
                <w:color w:val="auto"/>
              </w:rPr>
            </w:pPr>
          </w:p>
        </w:tc>
        <w:tc>
          <w:tcPr>
            <w:tcW w:w="720" w:type="dxa"/>
            <w:vAlign w:val="bottom"/>
            <w:tcBorders>
              <w:top w:val="single" w:sz="8" w:color="3051F2"/>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3051F2"/>
            </w:tcBorders>
          </w:tcPr>
          <w:p>
            <w:pPr>
              <w:jc w:val="center"/>
              <w:spacing w:after="0" w:line="196" w:lineRule="exact"/>
              <w:rPr>
                <w:sz w:val="20"/>
                <w:szCs w:val="20"/>
                <w:color w:val="auto"/>
              </w:rPr>
            </w:pPr>
            <w:r>
              <w:rPr>
                <w:rFonts w:ascii="Times New Roman" w:cs="Times New Roman" w:eastAsia="Times New Roman" w:hAnsi="Times New Roman"/>
                <w:sz w:val="18"/>
                <w:szCs w:val="18"/>
                <w:color w:val="3051F2"/>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838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Stockholders’ Equity for the Three Months Ended March 31, 2026 and 2025</w:t>
            </w:r>
          </w:p>
        </w:tc>
        <w:tc>
          <w:tcPr>
            <w:tcW w:w="9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7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Three Months Ended March 31, 2026 and 2025</w:t>
            </w:r>
          </w:p>
        </w:tc>
        <w:tc>
          <w:tcPr>
            <w:tcW w:w="160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400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30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w w:val="77"/>
              </w:rPr>
              <w:t>11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2840" w:type="dxa"/>
            <w:vAlign w:val="bottom"/>
            <w:gridSpan w:val="4"/>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22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940" w:type="dxa"/>
            <w:vAlign w:val="bottom"/>
            <w:tcBorders>
              <w:left w:val="single" w:sz="8" w:color="3051F2"/>
            </w:tcBorders>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3051F2"/>
                <w:w w:val="98"/>
              </w:rPr>
              <w:t>Quantitative and Qualitative Disclosures About Market Risk</w:t>
            </w:r>
          </w:p>
        </w:tc>
        <w:tc>
          <w:tcPr>
            <w:tcW w:w="2120" w:type="dxa"/>
            <w:vAlign w:val="bottom"/>
            <w:gridSpan w:val="2"/>
          </w:tcPr>
          <w:p>
            <w:pPr>
              <w:spacing w:after="0"/>
              <w:rPr>
                <w:sz w:val="21"/>
                <w:szCs w:val="21"/>
                <w:color w:val="auto"/>
              </w:rPr>
            </w:pPr>
          </w:p>
        </w:tc>
        <w:tc>
          <w:tcPr>
            <w:tcW w:w="2840" w:type="dxa"/>
            <w:vAlign w:val="bottom"/>
            <w:gridSpan w:val="4"/>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29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940" w:type="dxa"/>
            <w:vAlign w:val="bottom"/>
            <w:tcBorders>
              <w:left w:val="single" w:sz="8" w:color="3051F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4960" w:type="dxa"/>
            <w:vAlign w:val="bottom"/>
            <w:gridSpan w:val="6"/>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640" w:type="dxa"/>
            <w:vAlign w:val="bottom"/>
            <w:gridSpan w:val="7"/>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720" w:type="dxa"/>
            <w:vAlign w:val="bottom"/>
            <w:gridSpan w:val="12"/>
          </w:tcPr>
          <w:p>
            <w:pPr>
              <w:spacing w:after="0"/>
              <w:rPr>
                <w:sz w:val="24"/>
                <w:szCs w:val="24"/>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3051F2"/>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5"/>
              </w:rPr>
              <w:t>Legal Proceedings</w:t>
            </w:r>
          </w:p>
        </w:tc>
        <w:tc>
          <w:tcPr>
            <w:tcW w:w="260" w:type="dxa"/>
            <w:vAlign w:val="bottom"/>
          </w:tcPr>
          <w:p>
            <w:pPr>
              <w:spacing w:after="0"/>
              <w:rPr>
                <w:sz w:val="21"/>
                <w:szCs w:val="21"/>
                <w:color w:val="auto"/>
              </w:rPr>
            </w:pPr>
          </w:p>
        </w:tc>
        <w:tc>
          <w:tcPr>
            <w:tcW w:w="7720" w:type="dxa"/>
            <w:vAlign w:val="bottom"/>
            <w:gridSpan w:val="12"/>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3051F2"/>
              </w:rPr>
              <w:t>Risk Factors</w:t>
            </w:r>
          </w:p>
        </w:tc>
        <w:tc>
          <w:tcPr>
            <w:tcW w:w="7980" w:type="dxa"/>
            <w:vAlign w:val="bottom"/>
            <w:gridSpan w:val="13"/>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3051F2"/>
              </w:rPr>
              <w:t>Unregistered Sales of Equity Securities and Use of Proceeds</w:t>
            </w: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4960" w:type="dxa"/>
            <w:vAlign w:val="bottom"/>
            <w:gridSpan w:val="6"/>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3051F2"/>
                <w:w w:val="97"/>
              </w:rPr>
              <w:t>Mine Safety Disclosure</w:t>
            </w:r>
          </w:p>
        </w:tc>
        <w:tc>
          <w:tcPr>
            <w:tcW w:w="620" w:type="dxa"/>
            <w:vAlign w:val="bottom"/>
            <w:gridSpan w:val="2"/>
          </w:tcPr>
          <w:p>
            <w:pPr>
              <w:spacing w:after="0"/>
              <w:rPr>
                <w:sz w:val="21"/>
                <w:szCs w:val="21"/>
                <w:color w:val="auto"/>
              </w:rPr>
            </w:pPr>
          </w:p>
        </w:tc>
        <w:tc>
          <w:tcPr>
            <w:tcW w:w="6980" w:type="dxa"/>
            <w:vAlign w:val="bottom"/>
            <w:gridSpan w:val="9"/>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7"/>
              </w:rPr>
              <w:t>Other Information</w:t>
            </w:r>
          </w:p>
        </w:tc>
        <w:tc>
          <w:tcPr>
            <w:tcW w:w="380" w:type="dxa"/>
            <w:vAlign w:val="bottom"/>
            <w:gridSpan w:val="2"/>
          </w:tcPr>
          <w:p>
            <w:pPr>
              <w:spacing w:after="0"/>
              <w:rPr>
                <w:sz w:val="21"/>
                <w:szCs w:val="21"/>
                <w:color w:val="auto"/>
              </w:rPr>
            </w:pPr>
          </w:p>
        </w:tc>
        <w:tc>
          <w:tcPr>
            <w:tcW w:w="7600" w:type="dxa"/>
            <w:vAlign w:val="bottom"/>
            <w:gridSpan w:val="11"/>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6"/>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w w:val="97"/>
              </w:rPr>
              <w:t>Signatures</w:t>
            </w:r>
          </w:p>
        </w:tc>
        <w:tc>
          <w:tcPr>
            <w:tcW w:w="8540" w:type="dxa"/>
            <w:vAlign w:val="bottom"/>
            <w:gridSpan w:val="15"/>
          </w:tcPr>
          <w:p>
            <w:pPr>
              <w:spacing w:after="0"/>
              <w:rPr>
                <w:sz w:val="21"/>
                <w:szCs w:val="21"/>
                <w:color w:val="auto"/>
              </w:rPr>
            </w:pPr>
          </w:p>
        </w:tc>
        <w:tc>
          <w:tcPr>
            <w:tcW w:w="52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3051F2"/>
                <w:w w:val="99"/>
              </w:rPr>
              <w:t>34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use our website, our X (formerly known as Twitter) account (@PrimeMedicine) or our LinkedIn profile at https://www.linkedin.com/company/prime-medicine to distribute material information. Our financial and other material information is routinely posted to and accessible on the Investors section of our website, available at www.primemedicine.com. Investors are encouraged to review the Investors section of our website because we may post material information on that site that is not otherwise disseminated by us. Information that is contained in and can be accessed through our website or our social media is not incorporated into, and does not form a part of, this Quarterly Report on Form 10-Q.</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apply for various trademarks that we use in connection with the operation of our business. This Quarterly Report on Form 10-Q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service marks and trade names referred to in this Quarterly Report on Form 10-Q may appear without the ®, SM and ™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6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114,648</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181,293</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126,177</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342,733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7"/>
        </w:trPr>
        <w:tc>
          <w:tcPr>
            <w:tcW w:w="822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w:t>
            </w: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 related party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58,127</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108,290</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funding liability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221,865</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par value of $0.00001 per share; 775,000,000 shares authorized; 180,615,514 and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180,514,014 shares issued and outstanding as of March 31, 2026 and December 31, 2025, respectively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1,009,138</w:t>
            </w: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(888,354)</w:t>
            </w:r>
          </w:p>
        </w:tc>
      </w:tr>
      <w:tr>
        <w:trPr>
          <w:trHeight w:val="237"/>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120,868</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294,730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0" w:type="dxa"/>
            <w:vAlign w:val="bottom"/>
          </w:tcPr>
          <w:p>
            <w:pPr>
              <w:spacing w:after="0"/>
              <w:rPr>
                <w:sz w:val="1"/>
                <w:szCs w:val="1"/>
                <w:color w:val="auto"/>
              </w:rPr>
            </w:pPr>
          </w:p>
        </w:tc>
      </w:tr>
      <w:tr>
        <w:trPr>
          <w:trHeight w:val="23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6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177,096,225</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130,884,490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unrealized (loss) income on investments, net of tax</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180,514,014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(888,354)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120,868</w:t>
            </w:r>
          </w:p>
        </w:tc>
        <w:tc>
          <w:tcPr>
            <w:tcW w:w="0" w:type="dxa"/>
            <w:vAlign w:val="bottom"/>
          </w:tcPr>
          <w:p>
            <w:pPr>
              <w:spacing w:after="0"/>
              <w:rPr>
                <w:sz w:val="1"/>
                <w:szCs w:val="1"/>
                <w:color w:val="auto"/>
              </w:rPr>
            </w:pPr>
          </w:p>
        </w:tc>
      </w:tr>
      <w:tr>
        <w:trPr>
          <w:trHeight w:val="225"/>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25"/>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unrealized income (loss) on</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investments,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0" w:type="dxa"/>
            <w:vAlign w:val="bottom"/>
          </w:tcPr>
          <w:p>
            <w:pPr>
              <w:spacing w:after="0"/>
              <w:rPr>
                <w:sz w:val="1"/>
                <w:szCs w:val="1"/>
                <w:color w:val="auto"/>
              </w:rPr>
            </w:pPr>
          </w:p>
        </w:tc>
      </w:tr>
      <w:tr>
        <w:trPr>
          <w:trHeight w:val="26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180,615,514</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1,014,175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(937,476)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131,160,842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(687,212)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153,149</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income (loss) on investments,</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131,160,842</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(739,102)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 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premiums and discount on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receivable — related party</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(48,857)</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(47,742)</w:t>
            </w:r>
          </w:p>
        </w:tc>
        <w:tc>
          <w:tcPr>
            <w:tcW w:w="0" w:type="dxa"/>
            <w:vAlign w:val="bottom"/>
          </w:tcPr>
          <w:p>
            <w:pPr>
              <w:spacing w:after="0"/>
              <w:rPr>
                <w:sz w:val="1"/>
                <w:szCs w:val="1"/>
                <w:color w:val="auto"/>
              </w:rPr>
            </w:pPr>
          </w:p>
        </w:tc>
      </w:tr>
      <w:tr>
        <w:trPr>
          <w:trHeight w:val="17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stock option exercises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research and development funding liability</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(90,599)</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196,538</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5"/>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260" w:type="dxa"/>
            <w:vAlign w:val="bottom"/>
            <w:gridSpan w:val="2"/>
            <w:vMerge w:val="continue"/>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77,797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restricted cash</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0" w:type="dxa"/>
            <w:vAlign w:val="bottom"/>
          </w:tcPr>
          <w:p>
            <w:pPr>
              <w:spacing w:after="0"/>
              <w:rPr>
                <w:sz w:val="1"/>
                <w:szCs w:val="1"/>
                <w:color w:val="auto"/>
              </w:rPr>
            </w:pPr>
          </w:p>
        </w:tc>
      </w:tr>
      <w:tr>
        <w:trPr>
          <w:trHeight w:val="26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64,106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91,877</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right-of-use assets due to lease termination</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Prime Medicine, Inc., together with its consolidated subsidiary, or the Company, is a biotechnology company committed to delivering a new class of differentiated one-time curative treatments. The Company is deploying Prime Editing technology, which it believes is a versatile, precise, and efficient gene editing technology. The Company was incorporated in the State of Delaware in September 2019. Its principal offices are in Cambridge, Massachusetts.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building its Prime Editing platform and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To date, the Company has funded its operations primarily with proceeds from sales of preferred stock, from public offerings, and private placement of its common stock, and through payments from its collaboration partners.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as of March 31, 2026, the Company had an accumulated deficit of $937.5 million. The Company expects to generate operating losses and negative operating cash flows for the foreseeable future. As of March 31, 2026, the Company maintains cash, cash equivalents, and short-term investments of $135.5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or ASC 205-40, the Company evaluated whether there are conditions and events, considered in the aggregate, that raise substantial doubt about the Company’s ability to continue as a going concern within one year after the date on which this Quarterly Report on Form 10-Q is filed. Based on the Company's cash, cash equivalents, and short-term investments as of March 31, 2026, the Company's current and forecasted level of operations, and its forecasted cash flows, the Company’s ability to continue as a going concern is dependent upon its ability to obtain the necessary financing to meet its obligations and repay its liabilities arising from normal business operations when they come due. Management plans to provide for the Company’s capital requirements through financing or other transactions, and selling shares under the Company's “at the market offering” program. There can be no assurance that the Company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ASC 205-40, and therefore cannot be considered in the evaluation of mitigating factors. As a result, management has concluded that substantial doubt exists about the Company’s ability to continue as a going concern for 12 months from the date these condensed consolidated financial statements are issued.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2026 have been prepared under the assumption that the Company will continue as a going concern for the next 12 months and that contemplates the realization of assets and satisfaction of liabilities and commitments in the normal course of business. The Company’s ability to continue as a going concern is dependent upon its uncertain ability to obtain additional capital, reduce expenditures and/or execute on its business plan. These condensed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 stage companies in the biotechnology industry, including, but not limited to, completing preclinical studies and clinical trials, obtaining regulatory approval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need to raise additional capital to support its continuing operations and to pursue its growth strategy. Until such time as the Company can generate significant revenue from product sales, if ever, it expects to finance its operations through a combination of private and public equity offerings, debt financings, collaborations, strategic alliances, licensing, or other arrangements with third parties, or other similar transactions. The Company may be unable to raise additional capital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operations of the Company and its wholly-owned subsidiary. Intercompany balances and transactions have been eliminated in consolidation. The accompanying condensed consolidated financial statements have been prepared in conformity with generally accepted accounting principles in the United States of America, or the U.S. GAAP. Any reference in these notes to applicable guidance is meant to refer to the authoritative U.S. GAAP as found in the ASC and Accounting Standards Updates, or ASU, of the Financial Accounting Standards Board, or FASB.</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Prime Medicine, Inc.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the condensed consolidated statements of stockholders’ equity for the three months ended March 31, 2026 and 2025, and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 The condensed consolidated balance sheet data as of December 31, 2025 was derived from our audited financial statements, but does not include all disclosures required by U.S. GAAP. These interim financial statements should be read in conjunction with the audited financial statements as of and for the year ended December 31, 2025, and notes thereto, which are included in the Company’s Annual Report on Form 10-K that was filed with the SEC on March 3, 2026.</w:t>
      </w:r>
    </w:p>
    <w:p>
      <w:pPr>
        <w:spacing w:after="0" w:line="13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audited consolidated financial statements for the year ended December 31, 2025, and notes thereto, included in the Company’s Annual Report on Form 10-K that was filed with the SEC on March 3, 2026. Since the date of those financial statements, there have been no material changes to its significant accounting policies, except as noted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reported amounts of revenues and expenses during the reporting periods. Significant estimates and assumptions reflected within these condensed consolidated financial statements include, but are not limited to, the valuation of the Company’s common stock and stock-based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 is a component of a public entity that 1) engages in business activities from which it may recognize revenues and incur expenses, 2) its operating results are regularly reviewed by the entity’s chief operating decision maker, or CODM, to make decisions about resource allocation or performance assessment, and 3) its discrete financial information is available. The Company operates and manages its business as a single segment for the purposes of assessing performance and making operating decisions.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executive officer, who is the CODM,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In making these decisions, the CODM uses consolidated financial information for purposes of evaluating performance, forecasting future period financial results, allocating resources and setting incentive targets. The CODM performs this assessment based on the Company’s consolidated net loss. Through this analysis, the CODM assesses performance by comparing actual net loss verses the budget, and then decides how to allocate resources to invest in the Company’s research and development programs. The measure of segment assets is reported on the condensed consolidated balance sheets as total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additional information on our consolidated net loss, including significant segment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4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Facility related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0" w:type="dxa"/>
            <w:vAlign w:val="bottom"/>
          </w:tcPr>
          <w:p>
            <w:pPr>
              <w:spacing w:after="0"/>
              <w:rPr>
                <w:sz w:val="1"/>
                <w:szCs w:val="1"/>
                <w:color w:val="auto"/>
              </w:rPr>
            </w:pPr>
          </w:p>
        </w:tc>
      </w:tr>
      <w:tr>
        <w:trPr>
          <w:trHeight w:val="24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0" w:type="dxa"/>
            <w:vAlign w:val="bottom"/>
          </w:tcPr>
          <w:p>
            <w:pPr>
              <w:spacing w:after="0"/>
              <w:rPr>
                <w:sz w:val="1"/>
                <w:szCs w:val="1"/>
                <w:color w:val="auto"/>
              </w:rPr>
            </w:pPr>
          </w:p>
        </w:tc>
      </w:tr>
      <w:tr>
        <w:trPr>
          <w:trHeight w:val="23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6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segment items consist of professional and consultant fees, license and intellectual property fees, and general and administrative facility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more detailed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date of this ASU or (2) retrospectively to all prior periods presented in the financial statements. The Company is currently evaluating the impact this ASU will have on its disclosures.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scope exception to derivative accounting for certain contracts with underlyings tied to operations or activities specific to one of the parties. Additionally, the update clarifies that share-based noncash consideration received from a customer should be accounted for under Topic 606 until the right to receive or retain the consideration becomes unconditional. The amendments can be applied prospectively or modified retrospectively and are effective for annual and interim periods beginning after December 15, 2026. The Company is currently evaluating the impact to the Company’s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improves the navigability of interim reporting guidance. The ASU also addresses the form and content of financial statements, adds lists to ASC 270 of the interim disclosures required by all other codification topics, and establishes a principle under which an entity must “disclose events since the end of the last annual reporting period that have a material impact on the entity.” This ASU is effective for interim reporting periods within annual reporting periods beginning after December 15, 2027, with early adoption permitted. The Company is currently evaluating the impact this ASU will have on its interim disclosures.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the Company’s financial statements upon adoption.</w:t>
      </w:r>
    </w:p>
    <w:p>
      <w:pPr>
        <w:spacing w:after="0" w:line="10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Investments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that are measured at fair value on a recurring basis and indicate the level of the fair value hierarchy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62,762</w:t>
            </w:r>
          </w:p>
        </w:tc>
        <w:tc>
          <w:tcPr>
            <w:tcW w:w="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47,374</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47,374</w:t>
            </w: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30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0" w:type="dxa"/>
            <w:vAlign w:val="bottom"/>
          </w:tcPr>
          <w:p>
            <w:pPr>
              <w:spacing w:after="0"/>
              <w:rPr>
                <w:sz w:val="1"/>
                <w:szCs w:val="1"/>
                <w:color w:val="auto"/>
              </w:rPr>
            </w:pP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177,367</w:t>
            </w: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177,367</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as short-term based on each instrument’s underlying contractual maturity date. The fair value of investments classified as Level 2 are valued using observable inputs to quoted market prices, benchmark yields, reported trades, broker/dealer quotes or alternative pricing sources with reasonable levels of price transparency.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Debt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of investments in debt securities consisted of the following:</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80" w:type="dxa"/>
            <w:vAlign w:val="bottom"/>
            <w:vMerge w:val="continue"/>
          </w:tcPr>
          <w:p>
            <w:pPr>
              <w:spacing w:after="0"/>
              <w:rPr>
                <w:sz w:val="16"/>
                <w:szCs w:val="16"/>
                <w:color w:val="auto"/>
              </w:rPr>
            </w:pPr>
          </w:p>
        </w:tc>
        <w:tc>
          <w:tcPr>
            <w:tcW w:w="14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 in debt securities: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w:t>
            </w:r>
          </w:p>
        </w:tc>
        <w:tc>
          <w:tcPr>
            <w:tcW w:w="0" w:type="dxa"/>
            <w:vAlign w:val="bottom"/>
          </w:tcPr>
          <w:p>
            <w:pPr>
              <w:spacing w:after="0"/>
              <w:rPr>
                <w:sz w:val="1"/>
                <w:szCs w:val="1"/>
                <w:color w:val="auto"/>
              </w:rPr>
            </w:pP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 in debt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6"/>
                <w:szCs w:val="16"/>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5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in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0" w:type="dxa"/>
            <w:vAlign w:val="bottom"/>
          </w:tcPr>
          <w:p>
            <w:pPr>
              <w:spacing w:after="0"/>
              <w:rPr>
                <w:sz w:val="1"/>
                <w:szCs w:val="1"/>
                <w:color w:val="auto"/>
              </w:rPr>
            </w:pP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 in debt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contractual maturities of the Company’s investments in debt securities were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2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114,648</w:t>
            </w:r>
          </w:p>
        </w:tc>
        <w:tc>
          <w:tcPr>
            <w:tcW w:w="0" w:type="dxa"/>
            <w:vAlign w:val="bottom"/>
          </w:tcPr>
          <w:p>
            <w:pPr>
              <w:spacing w:after="0"/>
              <w:rPr>
                <w:sz w:val="1"/>
                <w:szCs w:val="1"/>
                <w:color w:val="auto"/>
              </w:rPr>
            </w:pPr>
          </w:p>
        </w:tc>
      </w:tr>
      <w:tr>
        <w:trPr>
          <w:trHeight w:val="459"/>
        </w:trPr>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 in unrealized loss positions consisted of the following:</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number of securities)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6"/>
                <w:szCs w:val="16"/>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
        </w:trPr>
        <w:tc>
          <w:tcPr>
            <w:tcW w:w="52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continuous loss position for less than 12 months: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factors such as historical experience, market data, issuer-specific factors, and current economic conditions, the Company did not record an allowance for credit losses as of March 31, 2026 related to these investments. Further, given the lack of significant change in the credit risk, the Company does not consider these investments to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7"/>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41,006</w:t>
            </w:r>
          </w:p>
        </w:tc>
        <w:tc>
          <w:tcPr>
            <w:tcW w:w="0" w:type="dxa"/>
            <w:vAlign w:val="bottom"/>
          </w:tcPr>
          <w:p>
            <w:pPr>
              <w:spacing w:after="0"/>
              <w:rPr>
                <w:sz w:val="1"/>
                <w:szCs w:val="1"/>
                <w:color w:val="auto"/>
              </w:rPr>
            </w:pPr>
          </w:p>
        </w:tc>
      </w:tr>
      <w:tr>
        <w:trPr>
          <w:trHeight w:val="27"/>
        </w:trPr>
        <w:tc>
          <w:tcPr>
            <w:tcW w:w="8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0" w:type="dxa"/>
            <w:vAlign w:val="bottom"/>
          </w:tcPr>
          <w:p>
            <w:pPr>
              <w:spacing w:after="0"/>
              <w:rPr>
                <w:sz w:val="1"/>
                <w:szCs w:val="1"/>
                <w:color w:val="auto"/>
              </w:rPr>
            </w:pPr>
          </w:p>
        </w:tc>
      </w:tr>
      <w:tr>
        <w:trPr>
          <w:trHeight w:val="263"/>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0" w:type="dxa"/>
            <w:vAlign w:val="bottom"/>
          </w:tcPr>
          <w:p>
            <w:pPr>
              <w:spacing w:after="0"/>
              <w:rPr>
                <w:sz w:val="1"/>
                <w:szCs w:val="1"/>
                <w:color w:val="auto"/>
              </w:rPr>
            </w:pPr>
          </w:p>
        </w:tc>
      </w:tr>
      <w:tr>
        <w:trPr>
          <w:trHeight w:val="21"/>
        </w:trPr>
        <w:tc>
          <w:tcPr>
            <w:tcW w:w="8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is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1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clinical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 fee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63"/>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office and laboratory space under various non-cancelable operating leases. The Company’s significant lease agreements are disclosed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audited consolidated financial statements for the year ended December 31, 2025, and notes thereto, included in the Company’s Annual Report on Form 10-K that was filed with the SEC on March 3, 2026. Since the date of those financial statements, there have been no changes to the Company’s significant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annual lease payments to the total operating lease liabilities recorded in the condensed consolidated balance sheet as of March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9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37"/>
        </w:trPr>
        <w:tc>
          <w:tcPr>
            <w:tcW w:w="9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Remaining in 2026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w:t>
            </w:r>
          </w:p>
        </w:tc>
      </w:tr>
      <w:tr>
        <w:trPr>
          <w:trHeight w:val="243"/>
        </w:trPr>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r>
      <w:tr>
        <w:trPr>
          <w:trHeight w:val="243"/>
        </w:trPr>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74,478</w:t>
            </w:r>
          </w:p>
        </w:tc>
      </w:tr>
      <w:tr>
        <w:trPr>
          <w:trHeight w:val="23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179,080</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(64,568)</w:t>
            </w:r>
          </w:p>
        </w:tc>
      </w:tr>
      <w:tr>
        <w:trPr>
          <w:trHeight w:val="26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114,512</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Third Amended and Restated of Certificate of Incorporation, as amended, the Company’s common stock had a par value of $0.00001 and each share of common stock entitles the holder to one vote on all matters submitted to the stockholders for a vote. The holders of common stock are entitled to receive dividends, if any, as declared by the Company’s Board of Directors, or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November 2023, the Company entered into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or the Sales Agreement, with Jefferies LLC, or Jefferies, acting as the Company’s agent and/or principal, or the Sales Agent, with respect to an “at the market offering” program under which the Company may, from time to time, at its sole discretion, issue and sell shares of its common stock having an aggregate offering price of up to $300.0 million through the Sales Agent, or the 2023 ATM Program. Pursuant to the Sales Agreement, any shares will be sold pursuant to the shelf registration statement on Form S-3 (File No. 333-291348), originally filed with the SEC on Form S-3ASR on November 7, 2025, and converted to Form S-3 by post-effective amendments effective March 4, 2026, including the base prospectus and sales agreement prospectus contained therein (as amended), or the New Registration Statement. Any shares will be sold pursuant to the New Registration Statement and the sales agreement prospectus filed therewith, or the ATM Prospectus, which covers the offer and sale of shares of the Company’s common stock under the 2023 ATM Program having an aggregate offering price of up to $200.0 million of the $300.0 million authorized under the Sales Agreement. If the Company wishes to offer and sell additional shares of its common stock under the Sales Agreement in excess of the $200.0 million registered under the New Registration Statement, for up to an additional $100.0 million, the Company must file with the SEC one or more additional prospectus supplements to register under the Securities Act, the offer and sale of any such additional shares. The common stock will be sold at prevailing market prices at the time of the sale, and as a result, prices may vary.</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as of the date these condensed consolidated financial statements are issued, the Company has not sold any shares of common stock under the ATM Prospectus.</w:t>
      </w:r>
    </w:p>
    <w:p>
      <w:pPr>
        <w:spacing w:after="0" w:line="10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Option and Grant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2019 Stock Option and Grant Plan, or the 2019 Plan, provided for the Company to grant incentive stock options, non-qualified stock options, unrestricted stock awards, restricted stock awards and other stock-based awards to the officers, employees, consultants and other key persons of the Company. In October 2022,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connection with the closing of the Company’s initial public offering, the Board of Directors determined that no further awards would be granted under the 2019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Stock Option and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9, 2022, the Board of Directors adopted, and on October 10, 2022, the Company’s stockholders approved, the 2022 Stock Option and Incentive Plan, or the 2022 Plan, which became effective on October 18, 2022. The 2022 Plan allows the Company to make equity-based and cash-based incentive awards to its officers, employees, directors, and consultants. The 2022 Plan provides for the grant of incentive stock options, non-qualified stock options, stock appreciation rights, restricted stock awards, restricted stock units and other stock-based awards.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2022 Plan and the 2019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2022 Plan. The number of shares reserved and available for issuance under the 2022 Plan increased on January 1, 2023 and will increase on each January 1 hereafter, by five percent of the outstanding number of shares of common stock on the immediately preceding December 31 or such lesser number of shares as determined by the Compensation Committee of the Board of Directors. On January 1, 2026, the annual increase resulted in an additional 9,025,700 shares authorized being added to the 2022 Plan. As of March 31, 2026, the Company had 34,482,330 shares reserved under the 2022 Plan and the 2019 Plan, and 11,573,377 shares available for issuance under the 2022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9, 2022, the Board of Directors adopted, and on October 10, 2022, the Company’s stockholders approved, the 2022 Employee Stock Purchase Plan, or the 2022 ESPP, which became effective on October 18, 2022.</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2022 ESPP cumulatively increased beginning on January 1, 2023 and shall increase on each January 1 hereafter through January 1, 2032, by the least of (i) 971,350 shares of common stock, (ii) one percent of the outstanding number of shares of common stock on the immediately preceding December 31, or (iii) such number of shares of common stock as determined by the administrator of the 2022 ESPP. There was no annual increase for the 2022 ESPP on January 1, 2026. As of March 31, 2026, the Company had 1,522,025 shares available for issuance under the 2022 ESPP.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issued no shares of the Company’s common stock under the 2022 ESPP.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time-based stock option activity for the three months ended March 31, 2026:</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22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82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8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7"/>
        </w:trPr>
        <w:tc>
          <w:tcPr>
            <w:tcW w:w="8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20,879,389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7,875,474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20,879,389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there was $36.5 million of total unrecognized compensation cost related to time-based stock options, including incremental expense related to the Company’s option repricing announced in August 2025. The Company expects to recognize such amount over a remaining weighted-average period of 2.9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performance-based stock option activity for the three months ended March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8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813,480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0"/>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2026, there was $3.1 million of total unrecognized compensation cost related to performance-based stock options. </w:t>
      </w:r>
      <w:r>
        <w:rPr>
          <w:rFonts w:ascii="Times New Roman" w:cs="Times New Roman" w:eastAsia="Times New Roman" w:hAnsi="Times New Roman"/>
          <w:sz w:val="18"/>
          <w:szCs w:val="18"/>
          <w:b w:val="1"/>
          <w:bCs w:val="1"/>
          <w:i w:val="1"/>
          <w:iCs w:val="1"/>
          <w:color w:val="auto"/>
        </w:rPr>
        <w:t>Stock-Based Compensation</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below summarizes the classification of the Company’s stock-based compensation expense related to stock options and restricted common stock awards in the condensed consolidated statements of operations and comprehensive loss: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thousands)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p>
      <w:pPr>
        <w:spacing w:after="0" w:line="31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18942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5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70"/>
        </w:trPr>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-385445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-736600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7540" w:space="720"/>
            <w:col w:w="2980"/>
          </w:cols>
          <w:pgMar w:left="320" w:top="1440" w:right="339" w:bottom="1440" w:gutter="0" w:footer="0" w:header="0"/>
          <w:type w:val="continuous"/>
        </w:sect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agreements are disclosed in Note 9,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in the audited consolidated financial statements for the year ended December 31, 2025, and notes thereto, included in the Company’s Annual Report on Form 10-K that was filed with the SEC on March 3, 2026. Since the date of those financial statements, there have been no changes to the Company’s significant agreements except those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 Related Party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the Research Collaboration and License Agreement, or the BMS Collaboration Agreement, with Juno Therapeutics, Inc., a wholly-owned subsidiary of the Bristol-Myers Squibb Company, or BMS, consisted of the following:</w:t>
      </w:r>
    </w:p>
    <w:p>
      <w:pPr>
        <w:sectPr>
          <w:pgSz w:w="11900" w:h="16838" w:orient="portrait"/>
          <w:cols w:equalWidth="0" w:num="1">
            <w:col w:w="11240"/>
          </w:cols>
          <w:pgMar w:left="320" w:top="1440"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2" w:lineRule="exact"/>
        <w:rPr>
          <w:sz w:val="20"/>
          <w:szCs w:val="20"/>
          <w:color w:val="auto"/>
        </w:rPr>
      </w:pPr>
    </w:p>
    <w:p>
      <w:pPr>
        <w:sectPr>
          <w:pgSz w:w="11900" w:h="16838" w:orient="portrait"/>
          <w:cols w:equalWidth="0" w:num="3">
            <w:col w:w="7940" w:space="720"/>
            <w:col w:w="720" w:space="720"/>
            <w:col w:w="11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7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74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 related party</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57,775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58,127</w:t>
            </w:r>
          </w:p>
        </w:tc>
        <w:tc>
          <w:tcPr>
            <w:tcW w:w="0" w:type="dxa"/>
            <w:vAlign w:val="bottom"/>
          </w:tcPr>
          <w:p>
            <w:pPr>
              <w:spacing w:after="0"/>
              <w:rPr>
                <w:sz w:val="1"/>
                <w:szCs w:val="1"/>
                <w:color w:val="auto"/>
              </w:rPr>
            </w:pPr>
          </w:p>
        </w:tc>
      </w:tr>
      <w:tr>
        <w:trPr>
          <w:trHeight w:val="475"/>
        </w:trPr>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520" w:type="dxa"/>
            <w:vAlign w:val="bottom"/>
            <w:gridSpan w:val="2"/>
            <w:vMerge w:val="continue"/>
          </w:tcPr>
          <w:p>
            <w:pPr>
              <w:spacing w:after="0"/>
              <w:rPr>
                <w:sz w:val="16"/>
                <w:szCs w:val="16"/>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at the beginning of the period</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performance obligations under the BMS Collaboration Agreement that are partially unsatisfied was $65.1 million. The Company recognizes the portion of the transaction price as the single performance obligation is satisfied, using an input method, in proportion to costs incurred to date as compared to total costs incurred and expected to be incurred in the future to satisfy the underlying obligation.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 Collaboration Agreement — Related Party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currently engaged in arbitration proceedings with Beam Therapeutics, Inc., or Beam, regarding the parties’ collaboration and license agreement, or the Agreement. A dispute arose between the parties following the Company’s March 18, 2025 announcement that it is developing a Prime Editing-based treatment for alpha-1 antitrypsin deficiency, or AATD. On April 16, 2025, Beam filed an arbitration demand with the American Arbitration Association, or AAA, alleging that the Company has breached the Agreement by developing a product for the treatment of AATD and by allegedly not complying with certain obligations to transfer technical information to Beam pursuant to the Agreement. Beam also made related claims for trade secret misappropriation and various business torts based on similar allegations. Beam seeks both declaratory, injunctive, and monetary relief. On April 18, 2025, the Company filed an arbitration demand with the AAA seeking a declaration that the Company’s AATD program is within our “Field” as defined by the Agreement. The arbitrations were consolidated and a hearing was conducted earlier this year. The Company is currently waiting for the arbitrators’ decision and final resolution. If the final resolution of the matter is adverse to the Company, the arbitration panel may provide Beam with relief including, among other things, monetary damages and/or an order that the Company cease work on its AATD program and transfer such program to Beam.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80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was calculated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7"/>
        </w:trPr>
        <w:tc>
          <w:tcPr>
            <w:tcW w:w="8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177,096,225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130,884,490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loss per share available to common stockholders is computed by giving effect to all potentially dilutive common stock equivalents outstanding for the period. For purposes of this calculation, outstanding time-based stock options to purchase common stock, vested performance-based stock options to purchase common stock, and unvested performance-based restricted stock awards were considered common stock equivalents but had been excluded from the calculation of diluted net loss per share available to common stockholders as their effect was anti-dilutive.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applicable to common stockholders for the periods indicated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4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6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21,692,869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15,919,190</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performance-based restricted common stock awards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3,472,543</w:t>
            </w:r>
          </w:p>
        </w:tc>
      </w:tr>
      <w:tr>
        <w:trPr>
          <w:trHeight w:val="26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stock equivalents: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25,165,415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19,391,733</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2025, filed with the SEC on March 3, 2026. As discussed in the section titled “Special Note Regarding Forward-Looking Statements,” the following discussion and analysis contains forward-looking statements that involve risks and uncertainties, such as statements regarding our plans, objectives, expectations, intentions, or projections, as well as assumptions that, if they never materialize or prove incorrect, could cause our results to differ materially from those discussed in these forward-looking statements. Factors that could cause or contribute to such differences include, but are not limited to, those discussed in the “Risk Factors” section of our Annual Report on Form 10-K for the year ended December 31, 2025.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developing a new class of genetic medicines designed to provide durable, and potentially curative, treatment options for patients with diseases driven by defined genetic alterations, acquired cellular dysfunction, or dysregulated gene expression.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advancing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to cure two of the largest genetic liver diseases, Wilson Disease and AATD. Both programs are currently in late stages of pre-clinical development and are on track for IND and/or Clinical Trial Application filings in the first half of 2026 for Wilson Disease and the middle of 2026 for AATD. We intend to leverage the modularity of our platform to expeditiously and efficiently develop these programs supported by our universal liver lipid nanoparticle along with potential regulatory, clinical and other synergies from our modular technology.</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also continue to advance our i</w:t>
      </w:r>
      <w:r>
        <w:rPr>
          <w:rFonts w:ascii="Times New Roman" w:cs="Times New Roman" w:eastAsia="Times New Roman" w:hAnsi="Times New Roman"/>
          <w:sz w:val="18"/>
          <w:szCs w:val="18"/>
          <w:i w:val="1"/>
          <w:iCs w:val="1"/>
          <w:color w:val="auto"/>
        </w:rPr>
        <w:t>n vivo</w:t>
      </w:r>
      <w:r>
        <w:rPr>
          <w:rFonts w:ascii="Times New Roman" w:cs="Times New Roman" w:eastAsia="Times New Roman" w:hAnsi="Times New Roman"/>
          <w:sz w:val="18"/>
          <w:szCs w:val="18"/>
          <w:color w:val="auto"/>
        </w:rPr>
        <w:t xml:space="preserve"> Cystic Fibrosis program with support from Cystic Fibrosis Foundation and our efforts to develop Prime Edited CAR-T products for hematology, immunology, and oncology in partnership with BMS. In addition, we will continue to pursue additional business development opportunities to accelerate innovation, ensure the broadest application of Prime Editing, and further bolster our financial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2025, we announced additional data from the first patient dosed and initial data from the second patient dosed in our Phase 1/2 trial in CGD. We continue to engage in regulatory dialogue with the FDA toward a potential Biologics License Application filing for PM359.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immediate target indications and our differentiation target indications. These expenses include:</w:t>
      </w:r>
    </w:p>
    <w:p>
      <w:pPr>
        <w:spacing w:after="0" w:line="108" w:lineRule="exact"/>
        <w:rPr>
          <w:sz w:val="20"/>
          <w:szCs w:val="20"/>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manufacturing, and research and development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preclinical and clinical development of any product candidates we may identify, including under agreements with third parties, such as consultants and contractors;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and clinical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allocated to acquire in-process research and development, with no alternative future use associated with asset acquisitions or transactions to license intellectual property, such as our Broad License Agreement;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Pledge to Broad Institute.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Most of our research and development expenses have been related to early stage development activities.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platform and, as such, are not separately classified.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may continue to increase in the future with our planned research and development activities related to developing any future product candidates, including investments in manufacturing, as we advance any product candidates we may identify and begin to conduct clinical trials, and with our obligations under the BMS Collaboration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personnel-related costs, including stock-based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office and information technology costs; and facilities, depreciation and other general and administrative expenses, which include direct or allocated expenses for rent and maintenance of facilities and utilities.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if we increase our headcount to support research and development activities; increased accounting, legal, insurance, and investor and public relations costs as we continue to operate as a public company; and additional intellectual property-related expenses as we file patent applications to protect innovations arising from our research and development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interest and amortization related to our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Facility related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Clinical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intellectual property fees,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$6.5 million decrease in research and development expenses for the three months ended March 31, 2026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was primarily driven by:</w:t>
      </w:r>
    </w:p>
    <w:p>
      <w:pPr>
        <w:spacing w:after="0" w:line="153"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$3.8 million decrease in research costs due to the deprioritization of our CGD programs as we strategically focus our internal efforts on advancing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liver franchise;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decrease in personnel expenses, driven primarily by fewer R&amp;D personnel resulting from the workforce reduction announced in May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offset by a $1.2 million increase in clinical expenses as we advance our Wilson Disease and AATD programs.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$4.1 million increase in general and administrative expenses for the three months ended March 31, 2026 as compared to the three months ended March 31, 2025 was primarily driven by a $5.7 million increase in professional and consultant fees, a majority of which are arbitration-related legal expenses. This was offset by a $1.6 million decrease in personnel expenses driven primarily by fewer G&amp;A personnel resulting from the workforce reduction announced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Short-Term Investment — Related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related party short-term investment for the three months ended March 31, 2025 was the result of Beam’s stock price movement.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development of our current research programs, commence the clinical development of any product candidates we may identify, and continue our platform development and early-stage research activities. We have not yet commercialized any products and we do not expect to generate revenue from sales of products for several years, if at all. To date, we have funded our operations primarily with proceeds from sales of preferred stock and from our public offerings and through payments from our collaboration partners. As of March 31, 2026, we had cash, cash equivalents, and investments of $135.5 million, excluding our restricted cash, or $149.2 million, including restricted cash.</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we converted our automatic shelf registration statement on Form S-3ASR (File No. 333-291348), originally filed with the SEC on November 7, 2025, to a non-automatic shelf registration statement on Form S-3, or the Registration Statement, by post-effective amendments, for the issuance and sale of up to $500.0 million of our common stock, preferred stock, debt securities, warrants and/or units or any combination thereof. The Registration Statement was declared effective by the SEC on March 4, 2026.</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we entered into the Sales Agreement with Jefferies under which we may, from time to time, issue and sell shares of our common stock having an aggregate sales proceeds of up to $300.0 million, in a series of one or more at-the-market equity offerings as part of our 2023 ATM Program. Any shares will be sold pursuant to the Registration Statement and the sales agreement prospectus filed therewith, which covers the offer and sale of shares of our common stock under the 2023 ATM Program having an aggregate offering price of up to $200.0 million of the $300.0 million authorized under the Sales Agreement. If we wish to offer and sell additional shares of our common stock under the Sales Agreement in excess of the $200.0 million registered under the Registration Statement, for up to an additional $100.0 million, we must file with the SEC one or more additional prospectus supplements to register under the Securities Act, the offer and sale of any such additional shares of our common stock we wish to offer and sell from time to time under the Sales Agreement. Jefferies is not required to sell any specific share amounts but acts as our sales agent, using commercially reasonable efforts consistent with its normal trading and sales practices. We will pay Jefferies a commission equal to 3.0% of the aggregate gross proceeds we receive from each sale of our shares of common stock. Our common stock will be sold at prevailing market prices at the time of the sale, and as a result, prices may vary. As of March 31, 2026, we have not sold any shares of common stock under the 2023 ATM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substantial losses. As of March 31, 2026, we had an accumulated deficit of $937.5 million and we expect to generate operating losses and negative operating cash flows for the foreseeable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As stated above, as of March 31, 2026, we maintained cash, cash equivalents, and short-term investments of $135.5 million.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205-40, we evaluated whether there are conditions and events, considered in the aggregate, that raise substantial doubt about our ability to continue as a going concern within one year after the date on which this Quarterly Report on Form 10-Q is filed. Based on the our cash, cash equivalents, and short-term investments as of March 31, 2026, our current and forecasted level of operations and forecasted cash flows, our ability to continue as a going concern is dependent upon our ability to obtain the necessary financing to meet our obligations and repay our liabilities arising from normal business operations when they come due. Management plans to provide for capital requirements through financing or other transactions, and selling shares under our “at the market offering” program. There can be no assurance that we will be able to raise additional capital to fund operations with terms acceptable to us, or at all. Because certain elements of our plans to mitigate the conditions that raised substantial doubt about our ability to continue as a going concern are outside of our control, including the ability to raise capital through an equity or other financing, those elements cannot be considered probable according to ASC 205-40, and therefore cannot be considered in the evaluation of mitigating factors. As a result, we concluded that substantial doubt exists about our ability to continue as a going concern for 12 months from the date these condensed consolidated financial statements are issued.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2026 have been prepared under the assumption that we will continue as a going concern for the next 12 months and that contemplates the realization of assets and satisfaction of liabilities and commitments in the normal course of business. Our ability to continue as a going concern is dependent upon our uncertain ability to obtain additional capital, reduce expenditures and/or execute on its business plan. These condensed consolidated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(47,742)</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driven primarily by the following uses of cash:</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$49.1 million net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change in accrued expenses and other current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change in lease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offset by:</w:t>
      </w:r>
    </w:p>
    <w:p>
      <w:pPr>
        <w:spacing w:after="0" w:line="17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of non-cash amounts included in net loss, which primarily consisted of stock-based compensation expense, non-cash lease expense, and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change in accounts payable;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change in prepaid expenses and other current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driven primarily by the following uses of cash:</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$51.9 million net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change in accrued expenses and other current liabilities; and</w:t>
      </w:r>
    </w:p>
    <w:p>
      <w:pPr>
        <w:spacing w:after="0" w:line="171" w:lineRule="exact"/>
        <w:rPr>
          <w:rFonts w:ascii="Times New Roman" w:cs="Times New Roman" w:eastAsia="Times New Roman" w:hAnsi="Times New Roman"/>
          <w:sz w:val="18"/>
          <w:szCs w:val="18"/>
          <w:color w:val="auto"/>
        </w:rPr>
      </w:pPr>
    </w:p>
    <w:p>
      <w:pPr>
        <w:ind w:right="3380" w:firstLine="332"/>
        <w:spacing w:after="0" w:line="438"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change in deferred revenue from consideration received from BMS in September 2024. These were offset by:</w:t>
      </w: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million of non-cash amounts included in net loss, which primarily consisted of stock-based compensation expense, non-cash lease expense, depreciation and amortization expense, and change in fair value of short-term investment — related party;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change in accounts payable.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driven primarily by $43.6 million of maturities of marketable securities, net of 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driven primarily by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million of purchases of marketable securities, net of maturities;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purchases of property and equipment.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driven by $6.0 million of proceeds received under our agreement with Cystic Fibrosis Foundation.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expect to generate revenue from product sales unless and until we successfully complete preclinical and clinical development of, receive regulatory approval for, and commercialize a product candidate and we do not know when, or if at all, that will occur. We expect our expenses to increase substantially in connection with our ongoing activities, particularly as we advance the preclinical activities and studies and initiate clinical trials. In addition, if we obtain regulatory approval for any product candidates, we expect to incur significant expenses related to product sales, marketing, and distribution to the extent that such sales, marketing and distribution are not the responsibility of potential collaborators. Further, we have incurred, and expect to continue to incur, costs associated with operating as a public company. The timing and amount of our operating expenditures will depend largely on the factors set out above. For more information, refer to the section titled “Risk Factors” in our Annual Report on Form 10-K for the year ended December 31, 2025, and the “Risk Factors” section of subsequent Quarterly Reports on Form 10-Q.</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will be sufficient to fund our operating expenses and capital expenditure requirements into 2027. We have based this estimate on assumptions that may prove to be wrong, and we could exhaust our available capital resources sooner than we expect. We expect that we will require additional funding to:</w:t>
      </w:r>
    </w:p>
    <w:p>
      <w:pPr>
        <w:spacing w:after="0" w:line="12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alternatives and potential partnership opportunities for PM359, including our ability to execute and realize the anticipated benefits of any strategic alternatives we may pursue;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 defend intellectual property-related claims;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collaborations or strategic relationships and identify and enter into future license agreements and collaborations with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our future product candidates we identify;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Prime Editing platform;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our strategic priorities.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receive regulatory approval for any of our product candidates, we expect to incur significant commercialization expenses related to product manufacturing, sales, marketing and distribution, depending on where we choose to commercialize ourselves.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private and public equity offerings, debt financings, additional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and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or distribution or licensing arrangements with third parties, we may have to relinquish valuable rights to our technologies, any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organizations and other vendors to assist in the performance of our research and development activities, and other services and products for operating purposes. These contracts generally provide for termination on notice, and therefore are cancellable contracts and not included in the table of contractual obligations and commitments.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except for the minimum lease commitments disclosed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unaudited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the disclosures of contingent assets and liabilities at the date of the condensed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judgments about the carrying values of assets and liabilities recorded revenues and expenses that are not readily apparent from other sources. We evaluate our estimates and assumptions on an ongoing basis. Actual results may differ from these estimates.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critical accounting policies and significant judgments described under Management’s Discussion and Analysis of Critical Accounting Policies and Significant Judgments and Estimates which are included in our Annual Report on Form 10-K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audited financial statements for the year ended December 31, 2025, and notes thereto, included in our Annual Report on Form 10-K and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condensed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of our investment portfolio of cash equivalents and investments. As of March 31, 2026, we held cash, cash equivalents, investments, and restricted cash of $149.2 million, which consisted of cash, money market funds, equity securities, and debt securities. Our primary exposure to market risk is interest income sensitivity, which is affected by changes in the general level of U.S. interest rates. The fair value of our cash equivalents, consisted of our money market funds, and investments are subject to change as a result of potential changes in market interest rates. Due to the short-term maturities of our cash equivalents and investments and the low risk profile of our investments, an immediate 10 percent change in interest rates would not have a material effect on the fair market value of our cash equivalents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costs. Although we do not believe that inflation has had a material impact on our financial position or results of operations to date, we may experience some effect in the future due to an impact on the costs to conduct research and development, labor costs we incur to attract and retain qualified personnel, and other operational costs. Inflationary costs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our principal executive officer and principal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management concluded that our disclosure controls and procedures were effective as of March 31, 2026.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engaged in arbitration proceedings with Beam regarding the parties’ Agreement. A dispute arose between the parties following our March 18, 2025 announcement that we are developing a Prime Editing-based treatment for AATD. On April 16, 2025, Beam filed an arbitration demand with the AAA, alleging that we have breached the Agreement by developing a product for the treatment of AATD and by allegedly not complying with certain obligations to transfer technical information to Beam pursuant to the Agreement. Beam also made related claims for trade secret misappropriation and various business torts based on similar allegations. Beam seeks both declaratory, injunctive, and monetary relief. On April 18, 2025, we filed an arbitration demand with the AAA seeking a declaration that our AATD program is within our “Field” as defined by the Agreement. The arbitrations were consolidated and a hearing was conducted earlier this year. We are currently waiting for the arbitrators’ decision and final resolution. If the final resolution of the matter is adverse to us, the arbitration panel may provide Beam with relief including, among other things, monetary damages and/or an order that we cease work on our AATD program and transfer such program to Beam.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For a detailed discussion of the risks and uncertainties related to our business, please refer to the section titled “Risk Factors” in our Annual Report on Form 10-K for the year ended December 31, 2025. There have been no material changes from the risk factors set forth in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shares of equity securities sold, and options granted, by us during the three months ended March 31, 2026 that were not registered under the Securities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three months ended March 31, 2026, none of the Company’s directors or officers adopted, modified or terminated a plan or other arrangement intended to satisfy the affirmative defense conditions of Rule 10b5-1(c) or any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6"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jc w:val="right"/>
        <w:ind w:right="994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90"/>
        </w:trPr>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2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96"/>
        </w:trPr>
        <w:tc>
          <w:tcPr>
            <w:tcW w:w="1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Third Amended and Restated Certificate of Incorporation of Prime</w:t>
              </w:r>
            </w:hyperlink>
          </w:p>
        </w:tc>
        <w:tc>
          <w:tcPr>
            <w:tcW w:w="500" w:type="dxa"/>
            <w:vAlign w:val="bottom"/>
            <w:tcBorders>
              <w:bottom w:val="single" w:sz="8" w:color="CCEEFF"/>
            </w:tcBorders>
            <w:gridSpan w:val="8"/>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001-41536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10/24/22</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43"/>
        </w:trPr>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7"/>
              </w:rPr>
            </w:pPr>
            <w:hyperlink r:id="rId49">
              <w:r>
                <w:rPr>
                  <w:rFonts w:ascii="Times New Roman" w:cs="Times New Roman" w:eastAsia="Times New Roman" w:hAnsi="Times New Roman"/>
                  <w:sz w:val="18"/>
                  <w:szCs w:val="18"/>
                  <w:color w:val="0000FF"/>
                  <w:w w:val="97"/>
                </w:rPr>
                <w:t>Medicine, Inc.</w:t>
              </w:r>
            </w:hyperlink>
          </w:p>
        </w:tc>
        <w:tc>
          <w:tcPr>
            <w:tcW w:w="4260" w:type="dxa"/>
            <w:vAlign w:val="bottom"/>
            <w:tcBorders>
              <w:bottom w:val="single" w:sz="8" w:color="CCEEFF"/>
            </w:tcBorders>
            <w:gridSpan w:val="15"/>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7"/>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Third Amended and Restated Certificate</w:t>
              </w:r>
            </w:hyperlink>
          </w:p>
        </w:tc>
        <w:tc>
          <w:tcPr>
            <w:tcW w:w="7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001-41536</w:t>
            </w: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06/12/24</w:t>
            </w:r>
          </w:p>
        </w:tc>
        <w:tc>
          <w:tcPr>
            <w:tcW w:w="8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of Incorporation of Prime Medicine, Inc.</w:t>
              </w:r>
            </w:hyperlink>
          </w:p>
        </w:tc>
        <w:tc>
          <w:tcPr>
            <w:tcW w:w="28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Second Amended and Restated Bylaws of Prime Medicine, Inc.</w:t>
              </w:r>
            </w:hyperlink>
          </w:p>
        </w:tc>
        <w:tc>
          <w:tcPr>
            <w:tcW w:w="720" w:type="dxa"/>
            <w:vAlign w:val="bottom"/>
            <w:tcBorders>
              <w:bottom w:val="single" w:sz="8" w:color="CCEEFF"/>
            </w:tcBorders>
            <w:gridSpan w:val="11"/>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001-41536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05/21/24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2"/>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FF"/>
                <w:w w:val="99"/>
              </w:rPr>
              <w:t>Third Amended and Restated Non-Employee Director Compensation</w:t>
            </w:r>
          </w:p>
        </w:tc>
        <w:tc>
          <w:tcPr>
            <w:tcW w:w="3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Policy</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10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FF"/>
            </w:tcBorders>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3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4"/>
        </w:trPr>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0000FF"/>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72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26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1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10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FF"/>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w:t>
            </w:r>
          </w:p>
        </w:tc>
        <w:tc>
          <w:tcPr>
            <w:tcW w:w="56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8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3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02"/>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8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7"/>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63"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177" w:lineRule="exact"/>
        <w:rPr>
          <w:sz w:val="20"/>
          <w:szCs w:val="20"/>
          <w:color w:val="auto"/>
        </w:rPr>
      </w:pPr>
    </w:p>
    <w:p>
      <w:pPr>
        <w:ind w:right="120" w:firstLine="8"/>
        <w:spacing w:after="0" w:line="281" w:lineRule="auto"/>
        <w:tabs>
          <w:tab w:leader="none" w:pos="28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 furnished in Exhibit 32.1 and Exhibit 32.2 hereto are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24" w:lineRule="exact"/>
        <w:rPr>
          <w:sz w:val="20"/>
          <w:szCs w:val="20"/>
          <w:color w:val="auto"/>
        </w:rPr>
      </w:pPr>
    </w:p>
    <w:p>
      <w:pPr>
        <w:ind w:left="6020"/>
        <w:spacing w:after="0"/>
        <w:tabs>
          <w:tab w:leader="none" w:pos="6480" w:val="left"/>
        </w:tabs>
        <w:rPr>
          <w:sz w:val="20"/>
          <w:szCs w:val="20"/>
          <w:color w:val="auto"/>
        </w:rPr>
      </w:pPr>
      <w:r>
        <w:rPr>
          <w:rFonts w:ascii="Times New Roman" w:cs="Times New Roman" w:eastAsia="Times New Roman" w:hAnsi="Times New Roman"/>
          <w:sz w:val="18"/>
          <w:szCs w:val="18"/>
          <w:color w:val="auto"/>
        </w:rPr>
        <w:t>By:</w:t>
        <w:tab/>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200"/>
        <w:spacing w:after="0"/>
        <w:tabs>
          <w:tab w:leader="none" w:pos="64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Allan Reine</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left="200"/>
        <w:spacing w:after="0"/>
        <w:tabs>
          <w:tab w:leader="none" w:pos="6000" w:val="left"/>
          <w:tab w:leader="none" w:pos="64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tab/>
        <w:t>/s/ Svetlana Ni Makhni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Svetlana Ni Makhni</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5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PRIME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this Amended and Restated Non-Employee Director Compensation Policy (as amended from time to time,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of Prime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to provide a total compensation package that enables the Company to attract and retain, on a long-term basis, high-caliber directors who are not employees or officers of the Company or its subsidiaries (“</w:t>
      </w:r>
      <w:r>
        <w:rPr>
          <w:rFonts w:ascii="Times New Roman" w:cs="Times New Roman" w:eastAsia="Times New Roman" w:hAnsi="Times New Roman"/>
          <w:sz w:val="18"/>
          <w:szCs w:val="18"/>
          <w:u w:val="single" w:color="auto"/>
          <w:color w:val="auto"/>
        </w:rPr>
        <w:t>Outside Directors</w:t>
      </w:r>
      <w:r>
        <w:rPr>
          <w:rFonts w:ascii="Times New Roman" w:cs="Times New Roman" w:eastAsia="Times New Roman" w:hAnsi="Times New Roman"/>
          <w:sz w:val="18"/>
          <w:szCs w:val="18"/>
          <w:color w:val="auto"/>
        </w:rPr>
        <w:t>”). This Policy became effective as of October 19,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 furtherance of the purpose stated above, all Outside Directors shall be paid compensation for services provided to the Company as set forth below:</w:t>
      </w:r>
    </w:p>
    <w:p>
      <w:pPr>
        <w:spacing w:after="0" w:line="71"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Retainers</w:t>
      </w:r>
    </w:p>
    <w:p>
      <w:pPr>
        <w:spacing w:after="0" w:line="12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2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$45,000 for general availability and participation in meetings and conference calls of our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to be paid quarterly in arrears, pro-rated based on the number of actual days served by the director during such calendar quarter. No additional compensation will be paid for attending individual meetings of the Board of Directors.</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ind w:left="20" w:right="5200" w:firstLine="636"/>
        <w:spacing w:after="0" w:line="532" w:lineRule="auto"/>
        <w:tabs>
          <w:tab w:leader="none" w:pos="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Annual Retainers</w:t>
      </w:r>
      <w:r>
        <w:rPr>
          <w:rFonts w:ascii="Times New Roman" w:cs="Times New Roman" w:eastAsia="Times New Roman" w:hAnsi="Times New Roman"/>
          <w:sz w:val="18"/>
          <w:szCs w:val="18"/>
          <w:color w:val="auto"/>
        </w:rPr>
        <w:t>: Board Chairperson:</w:t>
      </w:r>
    </w:p>
    <w:p>
      <w:pPr>
        <w:ind w:left="20" w:right="5420"/>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Chairperson: Audit Committee member: Compensation Committee Chairperson: Compensation Committee member:</w:t>
      </w:r>
    </w:p>
    <w:p>
      <w:pPr>
        <w:spacing w:after="0" w:line="1" w:lineRule="exact"/>
        <w:rPr>
          <w:rFonts w:ascii="Times New Roman" w:cs="Times New Roman" w:eastAsia="Times New Roman" w:hAnsi="Times New Roman"/>
          <w:sz w:val="18"/>
          <w:szCs w:val="18"/>
          <w:color w:val="auto"/>
        </w:rPr>
      </w:pPr>
    </w:p>
    <w:p>
      <w:pPr>
        <w:ind w:left="20" w:right="3620"/>
        <w:spacing w:after="0" w:line="5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Nominating and Corporate Governance Committee Chairperson: Nominating and Corporate Governance Committee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30,000.00</w:t>
      </w:r>
    </w:p>
    <w:p>
      <w:pPr>
        <w:spacing w:after="0" w:line="23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20,000.00</w:t>
      </w:r>
    </w:p>
    <w:p>
      <w:pPr>
        <w:spacing w:after="0" w:line="23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10,000.00</w:t>
      </w:r>
    </w:p>
    <w:p>
      <w:pPr>
        <w:spacing w:after="0" w:line="23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15,000.00</w:t>
      </w:r>
    </w:p>
    <w:p>
      <w:pPr>
        <w:spacing w:after="0" w:line="23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7,500.00</w:t>
      </w:r>
    </w:p>
    <w:p>
      <w:pPr>
        <w:spacing w:after="0" w:line="25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10,000.00</w:t>
      </w:r>
    </w:p>
    <w:p>
      <w:pPr>
        <w:spacing w:after="0" w:line="23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5,000.00</w:t>
      </w:r>
    </w:p>
    <w:p>
      <w:pPr>
        <w:spacing w:after="0" w:line="209" w:lineRule="exact"/>
        <w:rPr>
          <w:sz w:val="20"/>
          <w:szCs w:val="20"/>
          <w:color w:val="auto"/>
        </w:rPr>
      </w:pPr>
    </w:p>
    <w:p>
      <w:pPr>
        <w:sectPr>
          <w:pgSz w:w="11900" w:h="16838" w:orient="portrait"/>
          <w:cols w:equalWidth="0" w:num="2">
            <w:col w:w="8300" w:space="720"/>
            <w:col w:w="2220"/>
          </w:cols>
          <w:pgMar w:left="320" w:top="117" w:right="339" w:bottom="1440" w:gutter="0" w:footer="0" w:header="0"/>
          <w:type w:val="continuous"/>
        </w:sect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Chairperson and committee member retainers are in addition to retainers for members of the Board of Directors. No additional compensation will be paid for attending individual committee meetings of the Board of Directors.</w:t>
      </w:r>
    </w:p>
    <w:p>
      <w:pPr>
        <w:spacing w:after="0" w:line="5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Retainers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grants of equity retainer awards to Outside Directors pursuant to this Policy will be automatic and nondiscretionary and will be made in accordance with the following provisions:</w:t>
      </w:r>
    </w:p>
    <w:p>
      <w:pPr>
        <w:spacing w:after="0" w:line="54" w:lineRule="exact"/>
        <w:rPr>
          <w:sz w:val="20"/>
          <w:szCs w:val="20"/>
          <w:color w:val="auto"/>
        </w:rPr>
      </w:pPr>
    </w:p>
    <w:p>
      <w:pPr>
        <w:jc w:val="both"/>
        <w:ind w:firstLine="656"/>
        <w:spacing w:after="0" w:line="266"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Revisions</w:t>
      </w:r>
      <w:r>
        <w:rPr>
          <w:rFonts w:ascii="Times New Roman" w:cs="Times New Roman" w:eastAsia="Times New Roman" w:hAnsi="Times New Roman"/>
          <w:sz w:val="18"/>
          <w:szCs w:val="18"/>
          <w:color w:val="auto"/>
        </w:rPr>
        <w:t>. The Board of Directors, in its discretion, may change and otherwise revise the terms of awards to be granted under this Policy, including, without limitation, the number of shares subject thereto, for awards of the same or different type granted on or after the date the Board of Directors determines to make any such change or revision.</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In the event of a Sale Event (as defined in the Company’s 2022 Stock Option and Incentive Plan (as amended from time to time, the “</w:t>
      </w:r>
      <w:r>
        <w:rPr>
          <w:rFonts w:ascii="Times New Roman" w:cs="Times New Roman" w:eastAsia="Times New Roman" w:hAnsi="Times New Roman"/>
          <w:sz w:val="18"/>
          <w:szCs w:val="18"/>
          <w:u w:val="single" w:color="auto"/>
          <w:color w:val="auto"/>
        </w:rPr>
        <w:t>2022 Plan</w:t>
      </w:r>
      <w:r>
        <w:rPr>
          <w:rFonts w:ascii="Times New Roman" w:cs="Times New Roman" w:eastAsia="Times New Roman" w:hAnsi="Times New Roman"/>
          <w:sz w:val="18"/>
          <w:szCs w:val="18"/>
          <w:color w:val="auto"/>
        </w:rPr>
        <w:t>”)), the equity retainer awards granted to Outside Directors pursuant to this Policy shall become 100% vested and exercisable.</w:t>
      </w:r>
    </w:p>
    <w:p>
      <w:pPr>
        <w:spacing w:after="0" w:line="6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Upon initial election to the Board of Directors, each new Outside Director will receive an initial, one-time grant of a non-statutory stock option to purchase 150,000 shares (the “</w:t>
      </w: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with an exercise price per share equal to the closing price of a share of the Company’s Common Stock on the date of grant and a term of ten years, that vests in three equal annual installments over three years; provided, however, that all vesting ceases if the director resigns from the Board of Directors or otherwise ceases to serve as a director, unless the Board of Directors determines that the circumstances warrant continuation of vesting. This Initial Grant applies to Outside Directors who are first elected to the Board of Directors subsequent to the Effective Date.</w:t>
      </w:r>
    </w:p>
    <w:p>
      <w:pPr>
        <w:spacing w:after="0" w:line="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On the date of each Annual Meeting of Stockholders of the Company following the Effective Date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Stockholders</w:t>
      </w:r>
      <w:r>
        <w:rPr>
          <w:rFonts w:ascii="Times New Roman" w:cs="Times New Roman" w:eastAsia="Times New Roman" w:hAnsi="Times New Roman"/>
          <w:sz w:val="18"/>
          <w:szCs w:val="18"/>
          <w:color w:val="auto"/>
        </w:rPr>
        <w:t>”), each continuing Outside Director, other than a director receiving an Initial Grant, will receive an annual grant of a non-statutory stock option to purchase 75,000 shares on the date of such Annual Meeting of Stockholders (the “</w:t>
      </w: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with an exercise price per share equal to the</w:t>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closing price of a share of the Company’s Common Stock on the date of grant and a term of ten years, that vests in full on the earlier of (i) the one-year anniversary of the grant date or (ii) the next Annual Meeting of Stockholders; provided, however, that all vesting ceases if the director resigns from the Board of Directors or otherwise ceases to serve as a director, unless the Board of Directors determines that the circumstances warrant continuation of vesting. In addition, all vested options remain exercisable for twelve (12) months if the director resigns from the Board of Directors or otherwise ceases to serve as a director. Notwithstanding the foregoing, if an Outside Director was initially elected to the Board of Directors within twelve (12) months preceding the Annual Meeting, then such Outside Director shall receive Annual Award that is pro-rated on a monthly basis for time serving as an Outside Director. Such Annual Award shall expire ten (10) years from the date of grant, and shall have a per share exercise price equal to the Fair Market Value (as defined in the Plan) of the Company’s Common Stock on the date of grant.</w:t>
      </w:r>
    </w:p>
    <w:p>
      <w:pPr>
        <w:spacing w:after="0" w:line="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Outside Directors in attending meetings of the Board of Directors or any committee thereof.</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Maximum Annual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Outside Director in a calendar year period for services as an Outside Director shall not exceed (i) $1,600,000 in the first calendar year an individual becomes an Outside Director and (ii) $1,000,000 in any other year (or in each case, such other limits as may be set forth in Section 3(b) of the 2022 Plan or any similar provision of a successor plan). For this purpose, the “amount” of equity compensation paid in a calendar year shall be determined based on the grant date fair value thereof, as determined in accordance with ASC Topic 718 or its successor provision, but excluding the impact of estimated forfeitures related to service-based vesting conditions.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Policy Approved</w:t>
      </w:r>
      <w:r>
        <w:rPr>
          <w:rFonts w:ascii="Times New Roman" w:cs="Times New Roman" w:eastAsia="Times New Roman" w:hAnsi="Times New Roman"/>
          <w:sz w:val="18"/>
          <w:szCs w:val="18"/>
          <w:color w:val="auto"/>
        </w:rPr>
        <w:t>: May 9,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Dates Policy Amended</w:t>
      </w:r>
      <w:r>
        <w:rPr>
          <w:rFonts w:ascii="Times New Roman" w:cs="Times New Roman" w:eastAsia="Times New Roman" w:hAnsi="Times New Roman"/>
          <w:sz w:val="18"/>
          <w:szCs w:val="18"/>
          <w:color w:val="auto"/>
        </w:rPr>
        <w:t>: May 17, 2024, May 16, 2025, and May 5, 2026</w:t>
      </w:r>
    </w:p>
    <w:p>
      <w:pPr>
        <w:sectPr>
          <w:pgSz w:w="11900" w:h="16838" w:orient="portrait"/>
          <w:cols w:equalWidth="0" w:num="1">
            <w:col w:w="11240"/>
          </w:cols>
          <w:pgMar w:left="320" w:top="144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Allan Reine,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Prime Medicine,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604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43180</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6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Allan Reine</w:t>
      </w:r>
    </w:p>
    <w:p>
      <w:pPr>
        <w:spacing w:after="0" w:line="7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Svetlana Ni Makhni,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Prime Medicine,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604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Svetlana Ni Makhni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43180</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Svetlana Ni Makhni</w:t>
      </w:r>
    </w:p>
    <w:p>
      <w:pPr>
        <w:spacing w:after="0" w:line="7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Prime Medicine,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54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43180</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Allan Reine</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Prime Medicine,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77" w:lineRule="exact"/>
        <w:rPr>
          <w:sz w:val="20"/>
          <w:szCs w:val="20"/>
          <w:color w:val="auto"/>
        </w:rPr>
      </w:pPr>
    </w:p>
    <w:p>
      <w:pPr>
        <w:ind w:left="54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Svetlana Ni Makhni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43180</wp:posOffset>
            </wp:positionV>
            <wp:extent cx="3282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Svetlana Ni Makhni</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upperLetter"/>
      <w:start w:val="9"/>
    </w:lvl>
    <w:lvl w:ilvl="1">
      <w:lvlJc w:val="left"/>
      <w:lvlText w:val="(%2)"/>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upperLetter"/>
      <w:start w:val="3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upperLetter"/>
      <w:start w:val="6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49" Type="http://schemas.openxmlformats.org/officeDocument/2006/relationships/hyperlink" Target="https://www.sec.gov/Archives/edgar/data/1894562/000162828022026895/exhibit31-closing8xk.htm" TargetMode="External"/><Relationship Id="rId50" Type="http://schemas.openxmlformats.org/officeDocument/2006/relationships/hyperlink" Target="https://www.sec.gov/Archives/edgar/data/1894562/000162828024027816/a06-12x2024xofficerexculpa.htm" TargetMode="External"/><Relationship Id="rId51" Type="http://schemas.openxmlformats.org/officeDocument/2006/relationships/hyperlink" Target="https://www.sec.gov/Archives/edgar/data/1894562/000162828024024530/a05-21x2024xamendedao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2026-05-07T07:18:14Z</dcterms:created>
  <dcterms:modified xsi:type="dcterms:W3CDTF">2026-05-07T07:18:14Z</dcterms:modified>
</cp:coreProperties>
</file>