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580" w:hanging="547"/>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9" w:lineRule="exact"/>
        <w:rPr>
          <w:sz w:val="24"/>
          <w:szCs w:val="24"/>
          <w:color w:val="auto"/>
        </w:rPr>
      </w:pPr>
    </w:p>
    <w:p>
      <w:pPr>
        <w:ind w:left="580" w:hanging="547"/>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3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Prime Medicine,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tcPr>
          <w:p>
            <w:pPr>
              <w:jc w:val="right"/>
              <w:ind w:right="1604"/>
              <w:spacing w:after="0"/>
              <w:rPr>
                <w:sz w:val="20"/>
                <w:szCs w:val="20"/>
                <w:color w:val="auto"/>
              </w:rPr>
            </w:pPr>
            <w:r>
              <w:rPr>
                <w:rFonts w:ascii="Times New Roman" w:cs="Times New Roman" w:eastAsia="Times New Roman" w:hAnsi="Times New Roman"/>
                <w:sz w:val="18"/>
                <w:szCs w:val="18"/>
                <w:b w:val="1"/>
                <w:bCs w:val="1"/>
                <w:color w:val="auto"/>
              </w:rPr>
              <w:t>84-3097762</w:t>
            </w:r>
          </w:p>
        </w:tc>
        <w:tc>
          <w:tcPr>
            <w:tcW w:w="0" w:type="dxa"/>
            <w:vAlign w:val="bottom"/>
          </w:tcPr>
          <w:p>
            <w:pPr>
              <w:spacing w:after="0"/>
              <w:rPr>
                <w:sz w:val="1"/>
                <w:szCs w:val="1"/>
                <w:color w:val="auto"/>
              </w:rPr>
            </w:pPr>
          </w:p>
        </w:tc>
      </w:tr>
      <w:tr>
        <w:trPr>
          <w:trHeight w:val="362"/>
        </w:trPr>
        <w:tc>
          <w:tcPr>
            <w:tcW w:w="40" w:type="dxa"/>
            <w:vAlign w:val="bottom"/>
          </w:tcPr>
          <w:p>
            <w:pPr>
              <w:spacing w:after="0"/>
              <w:rPr>
                <w:sz w:val="24"/>
                <w:szCs w:val="24"/>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jc w:val="center"/>
              <w:ind w:right="504"/>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c>
          <w:tcPr>
            <w:tcW w:w="0" w:type="dxa"/>
            <w:vAlign w:val="bottom"/>
          </w:tcPr>
          <w:p>
            <w:pPr>
              <w:spacing w:after="0"/>
              <w:rPr>
                <w:sz w:val="1"/>
                <w:szCs w:val="1"/>
                <w:color w:val="auto"/>
              </w:rPr>
            </w:pPr>
          </w:p>
        </w:tc>
      </w:tr>
      <w:tr>
        <w:trPr>
          <w:trHeight w:val="489"/>
        </w:trPr>
        <w:tc>
          <w:tcPr>
            <w:tcW w:w="40" w:type="dxa"/>
            <w:vAlign w:val="bottom"/>
          </w:tcPr>
          <w:p>
            <w:pPr>
              <w:spacing w:after="0"/>
              <w:rPr>
                <w:sz w:val="24"/>
                <w:szCs w:val="24"/>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60 First Street, Cambridge, MA</w:t>
            </w:r>
          </w:p>
        </w:tc>
        <w:tc>
          <w:tcPr>
            <w:tcW w:w="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vMerge w:val="restart"/>
          </w:tcPr>
          <w:p>
            <w:pPr>
              <w:jc w:val="right"/>
              <w:ind w:right="1804"/>
              <w:spacing w:after="0"/>
              <w:rPr>
                <w:sz w:val="20"/>
                <w:szCs w:val="20"/>
                <w:color w:val="auto"/>
              </w:rPr>
            </w:pPr>
            <w:r>
              <w:rPr>
                <w:rFonts w:ascii="Times New Roman" w:cs="Times New Roman" w:eastAsia="Times New Roman" w:hAnsi="Times New Roman"/>
                <w:sz w:val="18"/>
                <w:szCs w:val="18"/>
                <w:b w:val="1"/>
                <w:bCs w:val="1"/>
                <w:color w:val="auto"/>
              </w:rPr>
              <w:t>02141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700" w:type="dxa"/>
            <w:vAlign w:val="bottom"/>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6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40" w:type="dxa"/>
            <w:vAlign w:val="bottom"/>
          </w:tcPr>
          <w:p>
            <w:pPr>
              <w:jc w:val="center"/>
              <w:ind w:right="504"/>
              <w:spacing w:after="0"/>
              <w:rPr>
                <w:sz w:val="20"/>
                <w:szCs w:val="20"/>
                <w:color w:val="auto"/>
              </w:rPr>
            </w:pPr>
            <w:r>
              <w:rPr>
                <w:rFonts w:ascii="Times New Roman" w:cs="Times New Roman" w:eastAsia="Times New Roman" w:hAnsi="Times New Roman"/>
                <w:sz w:val="13"/>
                <w:szCs w:val="13"/>
                <w:b w:val="1"/>
                <w:bCs w:val="1"/>
                <w:color w:val="auto"/>
                <w:w w:val="95"/>
              </w:rPr>
              <w:t>(Zip code)</w:t>
            </w:r>
          </w:p>
        </w:tc>
        <w:tc>
          <w:tcPr>
            <w:tcW w:w="0" w:type="dxa"/>
            <w:vAlign w:val="bottom"/>
          </w:tcPr>
          <w:p>
            <w:pPr>
              <w:spacing w:after="0"/>
              <w:rPr>
                <w:sz w:val="1"/>
                <w:szCs w:val="1"/>
                <w:color w:val="auto"/>
              </w:rPr>
            </w:pPr>
          </w:p>
        </w:tc>
      </w:tr>
      <w:tr>
        <w:trPr>
          <w:trHeight w:val="626"/>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0" w:type="dxa"/>
            <w:vAlign w:val="bottom"/>
            <w:gridSpan w:val="2"/>
          </w:tcPr>
          <w:p>
            <w:pPr>
              <w:jc w:val="center"/>
              <w:ind w:left="477"/>
              <w:spacing w:after="0"/>
              <w:rPr>
                <w:sz w:val="20"/>
                <w:szCs w:val="20"/>
                <w:color w:val="auto"/>
              </w:rPr>
            </w:pPr>
            <w:r>
              <w:rPr>
                <w:rFonts w:ascii="Times New Roman" w:cs="Times New Roman" w:eastAsia="Times New Roman" w:hAnsi="Times New Roman"/>
                <w:sz w:val="18"/>
                <w:szCs w:val="18"/>
                <w:b w:val="1"/>
                <w:bCs w:val="1"/>
                <w:color w:val="auto"/>
                <w:w w:val="99"/>
              </w:rPr>
              <w:t>(617) 564-0013</w:t>
            </w: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21 Erie Street, Cambridge, MA 02139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3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3700" w:type="dxa"/>
            <w:vAlign w:val="bottom"/>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2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80" w:type="dxa"/>
            <w:vAlign w:val="bottom"/>
          </w:tcPr>
          <w:p>
            <w:pPr>
              <w:spacing w:after="0"/>
              <w:rPr>
                <w:sz w:val="16"/>
                <w:szCs w:val="16"/>
                <w:color w:val="auto"/>
              </w:rPr>
            </w:pPr>
          </w:p>
        </w:tc>
        <w:tc>
          <w:tcPr>
            <w:tcW w:w="3640" w:type="dxa"/>
            <w:vAlign w:val="bottom"/>
            <w:tcBorders>
              <w:right w:val="single" w:sz="8" w:color="auto"/>
            </w:tcBorders>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7"/>
        </w:trPr>
        <w:tc>
          <w:tcPr>
            <w:tcW w:w="40" w:type="dxa"/>
            <w:vAlign w:val="bottom"/>
            <w:tcBorders>
              <w:right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700" w:type="dxa"/>
            <w:vAlign w:val="bottom"/>
            <w:tcBorders>
              <w:bottom w:val="single" w:sz="8" w:color="auto"/>
            </w:tcBorders>
          </w:tcPr>
          <w:p>
            <w:pPr>
              <w:jc w:val="center"/>
              <w:ind w:left="524"/>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62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PRME</w:t>
            </w:r>
          </w:p>
        </w:tc>
        <w:tc>
          <w:tcPr>
            <w:tcW w:w="680" w:type="dxa"/>
            <w:vAlign w:val="bottom"/>
            <w:tcBorders>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jc w:val="center"/>
              <w:ind w:right="644"/>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243" w:lineRule="exact"/>
        <w:rPr>
          <w:sz w:val="24"/>
          <w:szCs w:val="24"/>
          <w:color w:val="auto"/>
        </w:rPr>
      </w:pPr>
    </w:p>
    <w:p>
      <w:pPr>
        <w:ind w:right="400"/>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00" w:type="dxa"/>
            <w:vAlign w:val="bottom"/>
            <w:vMerge w:val="restart"/>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200" w:type="dxa"/>
            <w:vAlign w:val="bottom"/>
            <w:vMerge w:val="continue"/>
          </w:tcPr>
          <w:p>
            <w:pPr>
              <w:spacing w:after="0"/>
              <w:rPr>
                <w:sz w:val="21"/>
                <w:szCs w:val="21"/>
                <w:color w:val="auto"/>
              </w:rPr>
            </w:pPr>
          </w:p>
        </w:tc>
        <w:tc>
          <w:tcPr>
            <w:tcW w:w="5280" w:type="dxa"/>
            <w:vAlign w:val="bottom"/>
          </w:tcPr>
          <w:p>
            <w:pPr>
              <w:ind w:left="5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2"/>
        </w:trPr>
        <w:tc>
          <w:tcPr>
            <w:tcW w:w="32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Non-accelerated filer</w:t>
            </w:r>
          </w:p>
        </w:tc>
        <w:tc>
          <w:tcPr>
            <w:tcW w:w="2200" w:type="dxa"/>
            <w:vAlign w:val="bottom"/>
            <w:vMerge w:val="restart"/>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Smaller reporting company</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200" w:type="dxa"/>
            <w:vAlign w:val="bottom"/>
            <w:vMerge w:val="continue"/>
          </w:tcPr>
          <w:p>
            <w:pPr>
              <w:spacing w:after="0"/>
              <w:rPr>
                <w:sz w:val="21"/>
                <w:szCs w:val="21"/>
                <w:color w:val="auto"/>
              </w:rPr>
            </w:pPr>
          </w:p>
        </w:tc>
        <w:tc>
          <w:tcPr>
            <w:tcW w:w="5280" w:type="dxa"/>
            <w:vAlign w:val="bottom"/>
          </w:tcPr>
          <w:p>
            <w:pPr>
              <w:ind w:left="5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28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Emerging growth company</w:t>
            </w:r>
          </w:p>
        </w:tc>
        <w:tc>
          <w:tcPr>
            <w:tcW w:w="0" w:type="dxa"/>
            <w:vAlign w:val="bottom"/>
          </w:tcPr>
          <w:p>
            <w:pPr>
              <w:spacing w:after="0"/>
              <w:rPr>
                <w:sz w:val="1"/>
                <w:szCs w:val="1"/>
                <w:color w:val="auto"/>
              </w:rPr>
            </w:pPr>
          </w:p>
        </w:tc>
      </w:tr>
      <w:tr>
        <w:trPr>
          <w:trHeight w:val="272"/>
        </w:trPr>
        <w:tc>
          <w:tcPr>
            <w:tcW w:w="32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280" w:type="dxa"/>
            <w:vAlign w:val="bottom"/>
          </w:tcPr>
          <w:p>
            <w:pPr>
              <w:ind w:left="5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right="600"/>
        <w:spacing w:after="0" w:line="213"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 w:lineRule="exact"/>
        <w:rPr>
          <w:sz w:val="24"/>
          <w:szCs w:val="24"/>
          <w:color w:val="auto"/>
        </w:rPr>
      </w:pPr>
    </w:p>
    <w:p>
      <w:pPr>
        <w:ind w:right="2560"/>
        <w:spacing w:after="0" w:line="23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2024, the registrant had 120,030,813 shares of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129" w:gutter="0" w:footer="0" w:header="0"/>
        </w:sectPr>
      </w:pPr>
    </w:p>
    <w:bookmarkStart w:id="1" w:name="page2"/>
    <w:bookmarkEnd w:id="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statements which are made pursuant to the safe harbor provisions of Section 27A of the Securities Act of 1933, as amended, and Section 21E of the Securities Exchange Act of 1934, as amended (the “Exchange Act”). All statements, other than statements of historical facts, contained in this Quarterly Report on Form 10-Q, including statements regarding our strategy, future operations, future financial position, future revenue, projected costs, prospects, plans, and objectives of management, are forward-looking statements, which are based on management’s belief and assumptions and on information currently available to our management. These statements involve substantial risks, assumptions and uncertainties. The words “anticipate,” “believe,” “envision,” “estimate,” “expect,” “goal,” “intend,” “may,” “plan,” “predict,” “project,” “strategy,” “target,” “potential,” “will,” “would,” “could,” “should,” “continue,” “contemplate,” “vision” and similar expressions are intended to identify forward-looking statements, although not all forward-looking statements contain these identifying words.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statements about:</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product candidates, preclinical studies and future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and the timing of, preclinical proof-of-concept in vivo for multiple programs;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current and future product candidates that we may identify and successfully complete any clinical studies, including the manufacture of any such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our areas of focus and any other additional programs we may advance;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application submissions;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Prime Editing technology to address unmet medical needs in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programs and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protection we are able to establish and maintain for intellectual property rights covering our Prime Editing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made by gene therapy and gene editing programs to accelerate our clinical trials and approval of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Prime Editing technology;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capital requirements,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macroeconomic conditions or market volatility resulting from global economic conditions,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anticipated timeline of our cash runway, future financial performance and our ability to continue as a going concern;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these statements may be affected by inaccurate assumptions or by known or unknown risks and uncertainties.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subsequent SEC filings, particularly in the “Risk Factors” section, that we believe could cause actual results or events to differ materially from the forward-looking statements that we make. Unless otherwise disclosed, our forward-looking statements do not reflect the potential impact of any future acquisitions, mergers, dispositions, collaborations, joint ventures or investments we may make or enter into.</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our other filings with the Securities and Exchange Commission (the “SEC”) completely and with the understanding that our actual future results may be materially different from what we expect. The forward-looking statements contained in this Quarterly Report on Form 10-Q are made as of the date hereof, and we do not assume any obligation to update any forward-looking statements, whether as a result of new information, future events or otherwise after the date of such statements, except as required by applicable law.</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our product candidates. Such information is inherently subject to uncertainties and actual events or circumstances may differ materially from events and circumstances that are assumed in this information. Unless otherwise expressly stated, we obtained this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set forth in Part II, Item 1A of this Quarterly Report on Form 10-Q, if any, our Annual Report on Form 10-K that was filed with the SEC on March 1, 2024, and in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33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6980" w:type="dxa"/>
            <w:vAlign w:val="bottom"/>
            <w:gridSpan w:val="9"/>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380" w:type="dxa"/>
            <w:vAlign w:val="bottom"/>
            <w:tcBorders>
              <w:bottom w:val="single" w:sz="8" w:color="3051F2"/>
            </w:tcBorders>
            <w:gridSpan w:val="9"/>
            <w:vMerge w:val="continue"/>
          </w:tcPr>
          <w:p>
            <w:pPr>
              <w:spacing w:after="0"/>
              <w:rPr>
                <w:sz w:val="16"/>
                <w:szCs w:val="16"/>
                <w:color w:val="auto"/>
              </w:rPr>
            </w:pPr>
          </w:p>
        </w:tc>
        <w:tc>
          <w:tcPr>
            <w:tcW w:w="6980" w:type="dxa"/>
            <w:vAlign w:val="bottom"/>
            <w:gridSpan w:val="9"/>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bottom w:val="single" w:sz="8" w:color="3051F2"/>
            </w:tcBorders>
          </w:tcPr>
          <w:p>
            <w:pPr>
              <w:jc w:val="center"/>
              <w:spacing w:after="0" w:line="169" w:lineRule="exact"/>
              <w:rPr>
                <w:sz w:val="20"/>
                <w:szCs w:val="20"/>
                <w:color w:val="auto"/>
              </w:rPr>
            </w:pPr>
            <w:r>
              <w:rPr>
                <w:rFonts w:ascii="Times New Roman" w:cs="Times New Roman" w:eastAsia="Times New Roman" w:hAnsi="Times New Roman"/>
                <w:sz w:val="18"/>
                <w:szCs w:val="18"/>
                <w:color w:val="3051F2"/>
              </w:rPr>
              <w:t>5</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Financial Statements (unaudited)</w:t>
            </w:r>
          </w:p>
        </w:tc>
        <w:tc>
          <w:tcPr>
            <w:tcW w:w="6920" w:type="dxa"/>
            <w:vAlign w:val="bottom"/>
            <w:gridSpan w:val="8"/>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5</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3051F2"/>
              </w:rPr>
              <w:t>Condensed Consolidated Balance Sheets as of June 30, 2024 and December 31, 2023</w:t>
            </w:r>
          </w:p>
        </w:tc>
        <w:tc>
          <w:tcPr>
            <w:tcW w:w="48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3051F2"/>
              </w:rPr>
              <w:t>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7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3051F2"/>
              </w:rPr>
              <w:t>Condensed Consolidated Statements of Operations and Comprehensive Loss for the Three and Six Months Ended June 30, 2024</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9240" w:type="dxa"/>
            <w:vAlign w:val="bottom"/>
            <w:tcBorders>
              <w:top w:val="single" w:sz="8" w:color="3051F2"/>
            </w:tcBorders>
            <w:gridSpan w:val="16"/>
          </w:tcPr>
          <w:p>
            <w:pPr>
              <w:spacing w:after="0" w:line="196" w:lineRule="exact"/>
              <w:rPr>
                <w:sz w:val="20"/>
                <w:szCs w:val="20"/>
                <w:color w:val="auto"/>
              </w:rPr>
            </w:pPr>
            <w:r>
              <w:rPr>
                <w:rFonts w:ascii="Times New Roman" w:cs="Times New Roman" w:eastAsia="Times New Roman" w:hAnsi="Times New Roman"/>
                <w:sz w:val="18"/>
                <w:szCs w:val="18"/>
                <w:color w:val="3051F2"/>
              </w:rPr>
              <w:t>and 2023</w:t>
            </w:r>
          </w:p>
        </w:tc>
        <w:tc>
          <w:tcPr>
            <w:tcW w:w="60" w:type="dxa"/>
            <w:vAlign w:val="bottom"/>
          </w:tcPr>
          <w:p>
            <w:pPr>
              <w:spacing w:after="0"/>
              <w:rPr>
                <w:sz w:val="17"/>
                <w:szCs w:val="17"/>
                <w:color w:val="auto"/>
              </w:rPr>
            </w:pPr>
          </w:p>
        </w:tc>
        <w:tc>
          <w:tcPr>
            <w:tcW w:w="480" w:type="dxa"/>
            <w:vAlign w:val="bottom"/>
            <w:gridSpan w:val="2"/>
          </w:tcPr>
          <w:p>
            <w:pPr>
              <w:jc w:val="center"/>
              <w:ind w:left="291"/>
              <w:spacing w:after="0" w:line="196" w:lineRule="exact"/>
              <w:rPr>
                <w:sz w:val="20"/>
                <w:szCs w:val="20"/>
                <w:color w:val="auto"/>
              </w:rPr>
            </w:pPr>
            <w:r>
              <w:rPr>
                <w:rFonts w:ascii="Times New Roman" w:cs="Times New Roman" w:eastAsia="Times New Roman" w:hAnsi="Times New Roman"/>
                <w:sz w:val="18"/>
                <w:szCs w:val="18"/>
                <w:color w:val="3051F2"/>
              </w:rPr>
              <w:t>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3051F2"/>
              </w:rPr>
              <w:t>Condensed Consolidated Statements of Stockholders’ Equity for the Three and Six Months Ended June 30, 2024 and 2023</w:t>
            </w:r>
          </w:p>
        </w:tc>
        <w:tc>
          <w:tcPr>
            <w:tcW w:w="48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3051F2"/>
              </w:rPr>
              <w:t>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7380" w:type="dxa"/>
            <w:vAlign w:val="bottom"/>
            <w:tcBorders>
              <w:top w:val="single" w:sz="8" w:color="3051F2"/>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Six Months Ended June 30, 2024 and 2023</w:t>
            </w:r>
          </w:p>
        </w:tc>
        <w:tc>
          <w:tcPr>
            <w:tcW w:w="1440" w:type="dxa"/>
            <w:vAlign w:val="bottom"/>
            <w:tcBorders>
              <w:top w:val="single" w:sz="8" w:color="3051F2"/>
            </w:tcBorders>
          </w:tcPr>
          <w:p>
            <w:pPr>
              <w:spacing w:after="0"/>
              <w:rPr>
                <w:sz w:val="21"/>
                <w:szCs w:val="21"/>
                <w:color w:val="auto"/>
              </w:rPr>
            </w:pPr>
          </w:p>
        </w:tc>
        <w:tc>
          <w:tcPr>
            <w:tcW w:w="48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top w:val="single" w:sz="8" w:color="3051F2"/>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rPr>
              <w:t>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1"/>
                <w:szCs w:val="21"/>
                <w:color w:val="auto"/>
              </w:rPr>
            </w:pPr>
          </w:p>
        </w:tc>
        <w:tc>
          <w:tcPr>
            <w:tcW w:w="400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30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8"/>
                <w:szCs w:val="18"/>
                <w:color w:val="3051F2"/>
                <w:w w:val="77"/>
              </w:rPr>
              <w:t>11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23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2020" w:type="dxa"/>
            <w:vAlign w:val="bottom"/>
            <w:gridSpan w:val="3"/>
            <w:shd w:val="clear" w:color="auto" w:fill="3051F2"/>
          </w:tcPr>
          <w:p>
            <w:pPr>
              <w:spacing w:after="0" w:line="20" w:lineRule="exact"/>
              <w:rPr>
                <w:sz w:val="1"/>
                <w:szCs w:val="1"/>
                <w:color w:val="auto"/>
              </w:rPr>
            </w:pPr>
          </w:p>
        </w:tc>
        <w:tc>
          <w:tcPr>
            <w:tcW w:w="2120" w:type="dxa"/>
            <w:vAlign w:val="bottom"/>
            <w:tcBorders>
              <w:left w:val="single" w:sz="8" w:color="3051F2"/>
            </w:tcBorders>
            <w:gridSpan w:val="2"/>
            <w:shd w:val="clear" w:color="auto" w:fill="3051F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1"/>
          </w:tcPr>
          <w:p>
            <w:pPr>
              <w:spacing w:after="0"/>
              <w:rPr>
                <w:sz w:val="20"/>
                <w:szCs w:val="20"/>
                <w:color w:val="auto"/>
              </w:rPr>
            </w:pPr>
            <w:r>
              <w:rPr>
                <w:rFonts w:ascii="Times New Roman" w:cs="Times New Roman" w:eastAsia="Times New Roman" w:hAnsi="Times New Roman"/>
                <w:sz w:val="18"/>
                <w:szCs w:val="18"/>
                <w:color w:val="3051F2"/>
                <w:w w:val="98"/>
              </w:rPr>
              <w:t>Quantitative and Qualitative Disclosures About Market Risk</w:t>
            </w:r>
          </w:p>
        </w:tc>
        <w:tc>
          <w:tcPr>
            <w:tcW w:w="2120" w:type="dxa"/>
            <w:vAlign w:val="bottom"/>
            <w:gridSpan w:val="2"/>
          </w:tcPr>
          <w:p>
            <w:pPr>
              <w:spacing w:after="0"/>
              <w:rPr>
                <w:sz w:val="21"/>
                <w:szCs w:val="21"/>
                <w:color w:val="auto"/>
              </w:rPr>
            </w:pPr>
          </w:p>
        </w:tc>
        <w:tc>
          <w:tcPr>
            <w:tcW w:w="2840" w:type="dxa"/>
            <w:vAlign w:val="bottom"/>
            <w:gridSpan w:val="4"/>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700" w:type="dxa"/>
            <w:vAlign w:val="bottom"/>
            <w:tcBorders>
              <w:left w:val="single" w:sz="8" w:color="3051F2"/>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1"/>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4960" w:type="dxa"/>
            <w:vAlign w:val="bottom"/>
            <w:gridSpan w:val="6"/>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640" w:type="dxa"/>
            <w:vAlign w:val="bottom"/>
            <w:gridSpan w:val="6"/>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720" w:type="dxa"/>
            <w:vAlign w:val="bottom"/>
            <w:gridSpan w:val="12"/>
          </w:tcPr>
          <w:p>
            <w:pPr>
              <w:spacing w:after="0"/>
              <w:rPr>
                <w:sz w:val="24"/>
                <w:szCs w:val="24"/>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3051F2"/>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5"/>
              </w:rPr>
              <w:t>Legal Proceedings</w:t>
            </w:r>
          </w:p>
        </w:tc>
        <w:tc>
          <w:tcPr>
            <w:tcW w:w="260" w:type="dxa"/>
            <w:vAlign w:val="bottom"/>
          </w:tcPr>
          <w:p>
            <w:pPr>
              <w:spacing w:after="0"/>
              <w:rPr>
                <w:sz w:val="21"/>
                <w:szCs w:val="21"/>
                <w:color w:val="auto"/>
              </w:rPr>
            </w:pPr>
          </w:p>
        </w:tc>
        <w:tc>
          <w:tcPr>
            <w:tcW w:w="7720" w:type="dxa"/>
            <w:vAlign w:val="bottom"/>
            <w:gridSpan w:val="12"/>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Risk Factors</w:t>
            </w:r>
          </w:p>
        </w:tc>
        <w:tc>
          <w:tcPr>
            <w:tcW w:w="7980" w:type="dxa"/>
            <w:vAlign w:val="bottom"/>
            <w:gridSpan w:val="13"/>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3051F2"/>
              </w:rPr>
              <w:t>Unregistered Sales of Equity Securities and Use of Proceeds</w:t>
            </w: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33</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6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1"/>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4960" w:type="dxa"/>
            <w:vAlign w:val="bottom"/>
            <w:gridSpan w:val="6"/>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Borders>
              <w:left w:val="single" w:sz="8" w:color="3051F2"/>
            </w:tcBorders>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3051F2"/>
                <w:w w:val="97"/>
              </w:rPr>
              <w:t>Mine Safety Disclosure</w:t>
            </w:r>
          </w:p>
        </w:tc>
        <w:tc>
          <w:tcPr>
            <w:tcW w:w="620" w:type="dxa"/>
            <w:vAlign w:val="bottom"/>
            <w:gridSpan w:val="2"/>
          </w:tcPr>
          <w:p>
            <w:pPr>
              <w:spacing w:after="0"/>
              <w:rPr>
                <w:sz w:val="21"/>
                <w:szCs w:val="21"/>
                <w:color w:val="auto"/>
              </w:rPr>
            </w:pPr>
          </w:p>
        </w:tc>
        <w:tc>
          <w:tcPr>
            <w:tcW w:w="6980" w:type="dxa"/>
            <w:vAlign w:val="bottom"/>
            <w:gridSpan w:val="9"/>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60" w:type="dxa"/>
            <w:vAlign w:val="bottom"/>
            <w:tcBorders>
              <w:left w:val="single" w:sz="8" w:color="3051F2"/>
            </w:tcBorders>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7"/>
              </w:rPr>
              <w:t>Other Information</w:t>
            </w:r>
          </w:p>
        </w:tc>
        <w:tc>
          <w:tcPr>
            <w:tcW w:w="380" w:type="dxa"/>
            <w:vAlign w:val="bottom"/>
            <w:gridSpan w:val="2"/>
          </w:tcPr>
          <w:p>
            <w:pPr>
              <w:spacing w:after="0"/>
              <w:rPr>
                <w:sz w:val="21"/>
                <w:szCs w:val="21"/>
                <w:color w:val="auto"/>
              </w:rPr>
            </w:pPr>
          </w:p>
        </w:tc>
        <w:tc>
          <w:tcPr>
            <w:tcW w:w="7600" w:type="dxa"/>
            <w:vAlign w:val="bottom"/>
            <w:gridSpan w:val="11"/>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3051F2"/>
                <w:w w:val="93"/>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Signatures</w:t>
            </w:r>
          </w:p>
        </w:tc>
        <w:tc>
          <w:tcPr>
            <w:tcW w:w="8540" w:type="dxa"/>
            <w:vAlign w:val="bottom"/>
            <w:gridSpan w:val="15"/>
          </w:tcPr>
          <w:p>
            <w:pPr>
              <w:spacing w:after="0"/>
              <w:rPr>
                <w:sz w:val="21"/>
                <w:szCs w:val="21"/>
                <w:color w:val="auto"/>
              </w:rPr>
            </w:pPr>
          </w:p>
        </w:tc>
        <w:tc>
          <w:tcPr>
            <w:tcW w:w="48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3051F2"/>
                <w:w w:val="99"/>
              </w:rPr>
              <w:t>36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60" w:type="dxa"/>
            <w:vAlign w:val="bottom"/>
            <w:tcBorders>
              <w:left w:val="single" w:sz="8" w:color="3051F2"/>
            </w:tcBorders>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80" w:type="dxa"/>
            <w:vAlign w:val="bottom"/>
            <w:tcBorders>
              <w:left w:val="single" w:sz="8" w:color="3051F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use our website, our X (formerly known as Twitter) account (@PrimeMedicine) or our LinkedIn profile at https://www.linkedin.com/company/prime-medicine to distribute material information. Our financial and other material information is routinely posted to and accessible on the Investors section of our website, available at www.primemedicine.com. Investors are encouraged to review the Investors section of our website because we may post material information on that site that is not otherwise disseminated by us. Information that is contained in and can be accessed through our website or our social media is not incorporated into, and does not form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300" w:type="dxa"/>
            <w:vAlign w:val="bottom"/>
          </w:tcPr>
          <w:p>
            <w:pPr>
              <w:spacing w:after="0"/>
              <w:rPr>
                <w:sz w:val="16"/>
                <w:szCs w:val="16"/>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41,574</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 —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3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settlement payment — related party</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0" w:type="dxa"/>
            <w:vAlign w:val="bottom"/>
          </w:tcPr>
          <w:p>
            <w:pPr>
              <w:spacing w:after="0"/>
              <w:rPr>
                <w:sz w:val="1"/>
                <w:szCs w:val="1"/>
                <w:color w:val="auto"/>
              </w:rPr>
            </w:pPr>
          </w:p>
        </w:tc>
      </w:tr>
      <w:tr>
        <w:trPr>
          <w:trHeight w:val="237"/>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funding liability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60,780</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Common stock, par value of $0.00001 per share; 775,000,000 shares authorized; 120,030,813 and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97,377,121 shares issued and outstanding as of June 30, 2024 and December 31, 2023, respectively</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624,414</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(491,330)</w:t>
            </w:r>
          </w:p>
        </w:tc>
        <w:tc>
          <w:tcPr>
            <w:tcW w:w="0" w:type="dxa"/>
            <w:vAlign w:val="bottom"/>
          </w:tcPr>
          <w:p>
            <w:pPr>
              <w:spacing w:after="0"/>
              <w:rPr>
                <w:sz w:val="1"/>
                <w:szCs w:val="1"/>
                <w:color w:val="auto"/>
              </w:rPr>
            </w:pPr>
          </w:p>
        </w:tc>
      </w:tr>
      <w:tr>
        <w:trPr>
          <w:trHeight w:val="23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133,071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related party amount of $0.3 million as of December 31, 2023.</w:t>
      </w:r>
    </w:p>
    <w:p>
      <w:pPr>
        <w:spacing w:after="0" w:line="1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104,604</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(104,013)</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from income taxes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60" w:type="dxa"/>
            <w:vAlign w:val="bottom"/>
            <w:gridSpan w:val="2"/>
            <w:vMerge w:val="continue"/>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4"/>
                <w:szCs w:val="14"/>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14"/>
                <w:szCs w:val="14"/>
                <w:color w:val="auto"/>
              </w:rPr>
            </w:pPr>
          </w:p>
        </w:tc>
        <w:tc>
          <w:tcPr>
            <w:tcW w:w="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119,188,866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90,467,298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111,827,522</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89,769,970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loss on investments,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(101,144)</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related party amount of $0.3 million and $0.6 million for the three and six months ended June 30, 2023.</w:t>
      </w:r>
    </w:p>
    <w:p>
      <w:pPr>
        <w:spacing w:after="0" w:line="1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97,377,121</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(491,330)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133,071</w:t>
            </w:r>
          </w:p>
        </w:tc>
        <w:tc>
          <w:tcPr>
            <w:tcW w:w="0" w:type="dxa"/>
            <w:vAlign w:val="bottom"/>
          </w:tcPr>
          <w:p>
            <w:pPr>
              <w:spacing w:after="0"/>
              <w:rPr>
                <w:sz w:val="1"/>
                <w:szCs w:val="1"/>
                <w:color w:val="auto"/>
              </w:rPr>
            </w:pPr>
          </w:p>
        </w:tc>
      </w:tr>
      <w:tr>
        <w:trPr>
          <w:trHeight w:val="225"/>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common stock from public offering,</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issuance costs of $8.9 million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22,560,001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pre-funded warrants, net of issuance</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costs of $1.2 million</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Issuances of common under ESPP</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74,488</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investments, net of</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(80)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120,021,274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243,766</w:t>
            </w:r>
          </w:p>
        </w:tc>
        <w:tc>
          <w:tcPr>
            <w:tcW w:w="0" w:type="dxa"/>
            <w:vAlign w:val="bottom"/>
          </w:tcPr>
          <w:p>
            <w:pPr>
              <w:spacing w:after="0"/>
              <w:rPr>
                <w:sz w:val="1"/>
                <w:szCs w:val="1"/>
                <w:color w:val="auto"/>
              </w:rPr>
            </w:pPr>
          </w:p>
        </w:tc>
      </w:tr>
      <w:tr>
        <w:trPr>
          <w:trHeight w:val="225"/>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0" w:type="dxa"/>
            <w:vAlign w:val="bottom"/>
          </w:tcPr>
          <w:p>
            <w:pPr>
              <w:spacing w:after="0"/>
              <w:rPr>
                <w:sz w:val="1"/>
                <w:szCs w:val="1"/>
                <w:color w:val="auto"/>
              </w:rPr>
            </w:pPr>
          </w:p>
        </w:tc>
      </w:tr>
      <w:tr>
        <w:trPr>
          <w:trHeight w:val="225"/>
        </w:trPr>
        <w:tc>
          <w:tcPr>
            <w:tcW w:w="3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investments, net of</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tax</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0" w:type="dxa"/>
            <w:vAlign w:val="bottom"/>
          </w:tcPr>
          <w:p>
            <w:pPr>
              <w:spacing w:after="0"/>
              <w:rPr>
                <w:sz w:val="1"/>
                <w:szCs w:val="1"/>
                <w:color w:val="auto"/>
              </w:rPr>
            </w:pPr>
          </w:p>
        </w:tc>
      </w:tr>
      <w:tr>
        <w:trPr>
          <w:trHeight w:val="26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120,030,813</w:t>
            </w:r>
          </w:p>
        </w:tc>
        <w:tc>
          <w:tcPr>
            <w:tcW w:w="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789,076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9"/>
              </w:rPr>
              <w:t>(71)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(592,418)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7" w:name="page8"/>
    <w:bookmarkEnd w:id="7"/>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7"/>
        </w:trPr>
        <w:tc>
          <w:tcPr>
            <w:tcW w:w="3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97,209,213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316,270</w:t>
            </w:r>
          </w:p>
        </w:tc>
        <w:tc>
          <w:tcPr>
            <w:tcW w:w="0" w:type="dxa"/>
            <w:vAlign w:val="bottom"/>
          </w:tcPr>
          <w:p>
            <w:pPr>
              <w:spacing w:after="0"/>
              <w:rPr>
                <w:sz w:val="1"/>
                <w:szCs w:val="1"/>
                <w:color w:val="auto"/>
              </w:rPr>
            </w:pPr>
          </w:p>
        </w:tc>
      </w:tr>
      <w:tr>
        <w:trPr>
          <w:trHeight w:val="225"/>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5"/>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unrealized loss on investments, net of</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w:t>
            </w:r>
          </w:p>
        </w:tc>
        <w:tc>
          <w:tcPr>
            <w:tcW w:w="0" w:type="dxa"/>
            <w:vAlign w:val="bottom"/>
          </w:tcPr>
          <w:p>
            <w:pPr>
              <w:spacing w:after="0"/>
              <w:rPr>
                <w:sz w:val="1"/>
                <w:szCs w:val="1"/>
                <w:color w:val="auto"/>
              </w:rPr>
            </w:pPr>
          </w:p>
        </w:tc>
      </w:tr>
      <w:tr>
        <w:trPr>
          <w:trHeight w:val="23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97,227,809</w:t>
            </w: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611,598</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(332,594)</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278,801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loss on investments, net of</w:t>
            </w: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97,269,915</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615,347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(374,979)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 cash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premiums and discount on short-term 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settlement payment — related party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3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(82,382)</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provided by investing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(45,659)</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security deposits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follow-on offering, net of issuance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pre-funded warrants, net of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research and development funding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ESPP offerings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proceeds from stock option exercises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50"/>
        </w:trPr>
        <w:tc>
          <w:tcPr>
            <w:tcW w:w="8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69,096</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0" w:type="dxa"/>
            <w:vAlign w:val="bottom"/>
          </w:tcPr>
          <w:p>
            <w:pPr>
              <w:spacing w:after="0"/>
              <w:rPr>
                <w:sz w:val="1"/>
                <w:szCs w:val="1"/>
                <w:color w:val="auto"/>
              </w:rPr>
            </w:pPr>
          </w:p>
        </w:tc>
      </w:tr>
      <w:tr>
        <w:trPr>
          <w:trHeight w:val="26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44,935</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Prime Medicine, Inc., together with its consolidated subsidiary (the “Company”) is a biotechnology company committed to delivering a new class of differentiated one-time curative genetic therapies to address the widest spectrum of diseases. The Company is deploying Prime Editing technology, which it believes is a versatile, precise, and efficient gene editing technology. The Company was incorporated in the State of Delaware in September 2019. Its principal offices are in Cambridge, Massachusetts.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resources to building its Prime editing platform and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To date, the Company has funded its operations primarily with proceeds from sales of preferred stock and from public offerings of its common stock.</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the Company issued and sold 22,560,001 shares of its common stock, including 3,360,000 shares pursuant to the exercise of the underwriters’ option to purchase additional shares, at a price to the public of $6.25 per share. Further, in lieu of common stock to certain investors, the Company sold pre-funded warrants to purchase 3,200,005 shares of common stock at a public offering price of $6.24999 per pre-funded warrant, which represents the per share public offering price of each share of common stock less the $0.00001 per share exercise price for each pre-funded warrant. As a result of the offering, the Company received approximately $150.9 million in net proceeds, after deducting underwriting discounts, commissions and estimated offering costs of $10.1 million.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substantial losses and, as of June 30, 2024, the Company had an accumulated deficit of $592.4 million. The Company expects to generate operating losses and negative operating cash flows for the foreseeable future. As of June 30, 2024, the Company maintains cash, cash equivalents, and investments of $162.9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("ASC 205-40") the Company evaluated whether there are conditions and events, considered in the aggregate, that raise substantial doubt about the Company’s ability to continue as a going concern within one year after the date on which this Quarterly Report on Form 10-Q is filed. Based on the Company's cash, cash equivalents, short-term investments, and related party short-term investments as of June 30, 2024, the Company's current and forecasted level of operations, and its forecasted cash flows, 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transactions, and selling shares under the Company's “at the market offering” program. There can be no assurance that the Company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ASC 205-40, and therefore cannot be considered in the evaluation of mitigating factors. As a result, management has concluded that substantial doubt exists about the Company’s ability to continue as a going concern for 12 months from the date these condensed consolidated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2024 have been prepared under the assumption that the Company will continue as a going concern for the next 12 months and that contemplates the realization of assets and satisfaction of liabilities and commitments in the normal course of business. The Company’s ability to continue as a going concern is dependent upon its uncertain ability to obtain additional capital, reduce expenditures and/or execute on its business plan. These condensed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 stage companies in the biotechnology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development efforts are successful, it is uncertain when, if ever, the Company will realize significant revenue from product sales.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need to raise additional capital to support its continuing operations and to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capital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operations of the Company and its wholly-owned subsidiary. Intercompany balances and transactions have been eliminated in consolidation. The accompanying condensed consolidated financial statements have been prepared in conformity with generally accepted accounting principles in the United States of America (“U.S. GAAP”). Any reference in these notes to applicable guidance is meant to refer to the authoritative GAAP as found in the ASC and Accounting Standards Updates (“ASU”) of the Financial Accounting Standards Board (“FASB”).</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Prime Medicine, Inc.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2024, the results of its operations for the three and six months ended June 30, 2024 and 2023, the condensed consolidated statements of stockholders’ equity for the three and six months ended June 30, 2024 and 2023, and its cash flows for the six months ended June 30, 2024 and 2023. The financial data and other information disclosed in these notes related to the three and six months ended June 30, 2024 and 2023 are also unaudited. The results for the three and six months ended June 30, 2024 are not necessarily indicative of results to be expected for the year ending December 31, 2024, any other interim periods, or any future year or period. The condensed consolidated balance sheet data as of December 31, 2023 was derived from our audited financial statements, but does not include all disclosures required by U.S. GAAP. These interim financial statements should be read in conjunction with the audited financial statements as of and for the year ended December 31, 2023, and notes thereto, which are included in the Company’s Annual Report on Form 10-K that was filed with the Securities and Exchange Commission (the “SEC”)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disaggregated “Other income, net” on the condensed consolidated statements of operations and comprehensive loss into “Accretion (amortization) of investments,” “Interest income,” and “Other income, net”. This presentation has been conformed for all periods presented and had no impact on previously reported results.</w:t>
      </w:r>
    </w:p>
    <w:p>
      <w:pPr>
        <w:spacing w:after="0" w:line="118"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audited consolidated financial statements for the year ended December 31, 2023, and notes thereto, included in the Company’s Annual Report on Form 10-K that was filed with the SEC on March 1, 2024. Since the date of those financial statements, there have been no material changes to its significant accounting policies, except as noted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periods. Significant estimates and assumptions reflected within these condensed consolidated financial statements include, but are not limited to the valuation of the Company’s common stock and stock-based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assesses warrants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to determine whether they should be classified as equity or liability. If the classification is determined to be equity, proceeds received for the warrants are recorded as an increase to additional paid-in capital in the condensed consolidated balance sheets. If classified as a liability, the Company records the warrant as a liability on its consolidated balance sheet and remeasures this liability to fair value at each reporting date and recognizes changes in the fair value of the warrant liability as a component of other expense in the condensed consolidated statements of operations and comprehensive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In addition, this guidance requires disclosures of significant segment expenses and other segment items as well as incremental qualitative disclosures. This guidance is effective for fiscal years beginning after December 15, 2023, and interim periods after December 15, 2024, with retrospective application required, and early adoption permitted. The Company is currently in the process of evaluating the effects of this guidance on its related disclosures.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our financial statements upon adoption.</w:t>
      </w:r>
    </w:p>
    <w:p>
      <w:pPr>
        <w:spacing w:after="0" w:line="10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that are measured at fair value on a recurring basis and indicate the level of the fair value hierarchy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0" w:type="dxa"/>
            <w:vAlign w:val="bottom"/>
          </w:tcPr>
          <w:p>
            <w:pPr>
              <w:spacing w:after="0"/>
              <w:rPr>
                <w:sz w:val="1"/>
                <w:szCs w:val="1"/>
                <w:color w:val="auto"/>
              </w:rPr>
            </w:pPr>
          </w:p>
        </w:tc>
      </w:tr>
      <w:tr>
        <w:trPr>
          <w:trHeight w:val="243"/>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short-term investment: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Beam equity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6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157,681</w:t>
            </w: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162,374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24,209</w:t>
            </w: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0" w:type="dxa"/>
            <w:vAlign w:val="bottom"/>
          </w:tcPr>
          <w:p>
            <w:pPr>
              <w:spacing w:after="0"/>
              <w:rPr>
                <w:sz w:val="1"/>
                <w:szCs w:val="1"/>
                <w:color w:val="auto"/>
              </w:rPr>
            </w:pPr>
          </w:p>
        </w:tc>
      </w:tr>
      <w:tr>
        <w:trPr>
          <w:trHeight w:val="27"/>
        </w:trPr>
        <w:tc>
          <w:tcPr>
            <w:tcW w:w="4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short-term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Beam equity securities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98,848</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its U.S. Treasury securities as short-term based on each instrument’s underlying contractual maturity date. The fair value of the Company’s U.S. Treasury securities, corporate debt securities, and money market funds are classified as Level 2 because they are valued using observable inputs to quoted market prices, benchmark yields, reported trades, broker/dealer quotes or alternative pricing sources with reasonable levels of price transparency and U.S. Treasury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Debt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of investments in debt securities consisted of the following:</w:t>
      </w:r>
    </w:p>
    <w:p>
      <w:pPr>
        <w:spacing w:after="0" w:line="21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41910</wp:posOffset>
            </wp:positionV>
            <wp:extent cx="38404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6"/>
                <w:szCs w:val="16"/>
                <w:color w:val="auto"/>
              </w:rPr>
            </w:pPr>
          </w:p>
        </w:tc>
        <w:tc>
          <w:tcPr>
            <w:tcW w:w="12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in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68,850</w:t>
            </w: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 in debt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102,575</w:t>
            </w:r>
          </w:p>
        </w:tc>
      </w:tr>
      <w:tr>
        <w:trPr>
          <w:trHeight w:val="21"/>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80" w:type="dxa"/>
            <w:vAlign w:val="bottom"/>
            <w:vMerge w:val="continue"/>
          </w:tcPr>
          <w:p>
            <w:pPr>
              <w:spacing w:after="0"/>
              <w:rPr>
                <w:sz w:val="16"/>
                <w:szCs w:val="16"/>
                <w:color w:val="auto"/>
              </w:rPr>
            </w:pPr>
          </w:p>
        </w:tc>
        <w:tc>
          <w:tcPr>
            <w:tcW w:w="14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3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Pr>
          <w:p>
            <w:pPr>
              <w:spacing w:after="0"/>
              <w:rPr>
                <w:sz w:val="20"/>
                <w:szCs w:val="20"/>
                <w:color w:val="auto"/>
              </w:rPr>
            </w:pP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74,639</w:t>
            </w:r>
          </w:p>
        </w:tc>
      </w:tr>
      <w:tr>
        <w:trPr>
          <w:trHeight w:val="27"/>
        </w:trPr>
        <w:tc>
          <w:tcPr>
            <w:tcW w:w="5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 in debt securities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contractual maturities of the Company’s investments in debt securities held were as follows: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0"/>
        </w:trPr>
        <w:tc>
          <w:tcPr>
            <w:tcW w:w="5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5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74,639</w:t>
            </w:r>
          </w:p>
        </w:tc>
      </w:tr>
      <w:tr>
        <w:trPr>
          <w:trHeight w:val="47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in unrealized loss positions consisted of the following:</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2"/>
        </w:trPr>
        <w:tc>
          <w:tcPr>
            <w:tcW w:w="5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
        </w:trPr>
        <w:tc>
          <w:tcPr>
            <w:tcW w:w="5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58"/>
        </w:trPr>
        <w:tc>
          <w:tcPr>
            <w:tcW w:w="5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78"/>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number of securities)</w:t>
            </w: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7"/>
                <w:szCs w:val="17"/>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5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continuous loss position for less than 12 months:</w:t>
            </w: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factors such as historical experience, market data, issuer-specific factors, and current economic conditions, the Company did not record an allowance for credit losses as of June 30, 2024 related to these investments. Further, given the lack of significant change in the credit risk, the Company does not consider these investments to be impaired.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0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37"/>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30,143</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63"/>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0" w:type="dxa"/>
            <w:vAlign w:val="bottom"/>
          </w:tcPr>
          <w:p>
            <w:pPr>
              <w:spacing w:after="0"/>
              <w:rPr>
                <w:sz w:val="1"/>
                <w:szCs w:val="1"/>
                <w:color w:val="auto"/>
              </w:rPr>
            </w:pPr>
          </w:p>
        </w:tc>
      </w:tr>
      <w:tr>
        <w:trPr>
          <w:trHeight w:val="21"/>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is as follows:</w:t>
            </w: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2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2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r>
      <w:tr>
        <w:trPr>
          <w:trHeight w:val="27"/>
        </w:trPr>
        <w:tc>
          <w:tcPr>
            <w:tcW w:w="2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43"/>
        </w:trPr>
        <w:tc>
          <w:tcPr>
            <w:tcW w:w="200" w:type="dxa"/>
            <w:vAlign w:val="bottom"/>
          </w:tcPr>
          <w:p>
            <w:pPr>
              <w:spacing w:after="0"/>
              <w:rPr>
                <w:sz w:val="21"/>
                <w:szCs w:val="21"/>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Lab-related supplies and services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7"/>
        </w:trPr>
        <w:tc>
          <w:tcPr>
            <w:tcW w:w="2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00" w:type="dxa"/>
            <w:vAlign w:val="bottom"/>
            <w:tcBorders>
              <w:bottom w:val="single" w:sz="8" w:color="CCEEFF"/>
            </w:tcBorders>
            <w:shd w:val="clear" w:color="auto" w:fill="CCEEFF"/>
          </w:tcPr>
          <w:p>
            <w:pPr>
              <w:spacing w:after="0"/>
              <w:rPr>
                <w:sz w:val="23"/>
                <w:szCs w:val="23"/>
                <w:color w:val="auto"/>
              </w:rPr>
            </w:pPr>
          </w:p>
        </w:tc>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63"/>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14,110</w:t>
            </w:r>
          </w:p>
        </w:tc>
      </w:tr>
      <w:tr>
        <w:trPr>
          <w:trHeight w:val="21"/>
        </w:trPr>
        <w:tc>
          <w:tcPr>
            <w:tcW w:w="2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office and laboratory space under various non-cancelable operating leases. The Company’s significant lease agreements are disclosed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audited consolidated financial statements for the year ended December 31, 2023, and notes thereto, included in the Company’s Annual Report on Form 10-K that was filed with the SEC on March 1, 2024. Since the date of those financial statements, there have been no changes to the Company’s significant agreements except as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 First Street, Cambridge, Massachusetts Lease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Company entered into a lease for three floors of office and laboratory space in Cambridge, Massachusetts, with rent commencing in March 2024, subject to any credits pursuant to the terms of the lease. Subsequent to the initial non-cancelable term of the lease of ten years, the Company has an option to extend the lease for an additional period of ten years with the rent during the extension term being the then fair market rent. The Company secured the lease with a $13.1 million security deposit, which was recorded as restricted cash on the condensed consolidated balance sheets as of June 30, 2024 and December 31,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Considerations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the lease contained three separate lease components each of which represents a right of use that the Company can benefit from on its own and none which are neither highly dependent nor highly related to each other. The Company allocated the consideration among the three lease components based on their relative fair market value.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842, Leases, the lease commenced for one of the lease components in March 2024 and the Company recorded a right-of-use asset of $44.9 million, and a corresponding lease liability of $33.6 million on the lease commencement date; this includes a reclass of $11.3 million from prepaid expenses to right-of-use asset related to build out costs which were determined to be owned by the lessor. As the exercise of the option to extend the lease term was not reasonably certain, the Company will recognize lease expense for this lease component through February 2034.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commencement for the other two lease components is expected to occur in 2025. Any consideration paid to lease components for which the lease has not commenced are recorded as prepaid expense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future annual lease payments to the total operating lease liabilities recorded in the condensed consolidated balance sheet as of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9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37"/>
        </w:trPr>
        <w:tc>
          <w:tcPr>
            <w:tcW w:w="9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Remaining in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w:t>
            </w:r>
          </w:p>
        </w:tc>
      </w:tr>
      <w:tr>
        <w:trPr>
          <w:trHeight w:val="243"/>
        </w:trPr>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w:t>
            </w:r>
          </w:p>
        </w:tc>
      </w:tr>
      <w:tr>
        <w:trPr>
          <w:trHeight w:val="243"/>
        </w:trPr>
        <w:tc>
          <w:tcPr>
            <w:tcW w:w="9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118,079</w:t>
            </w:r>
          </w:p>
        </w:tc>
      </w:tr>
      <w:tr>
        <w:trPr>
          <w:trHeight w:val="23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202,843</w:t>
            </w:r>
          </w:p>
        </w:tc>
      </w:tr>
      <w:tr>
        <w:trPr>
          <w:trHeight w:val="27"/>
        </w:trPr>
        <w:tc>
          <w:tcPr>
            <w:tcW w:w="9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payments related to leases not commenced</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(129,850)</w:t>
            </w:r>
          </w:p>
        </w:tc>
      </w:tr>
      <w:tr>
        <w:trPr>
          <w:trHeight w:val="243"/>
        </w:trPr>
        <w:tc>
          <w:tcPr>
            <w:tcW w:w="9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w:t>
            </w:r>
          </w:p>
        </w:tc>
      </w:tr>
      <w:tr>
        <w:trPr>
          <w:trHeight w:val="27"/>
        </w:trPr>
        <w:tc>
          <w:tcPr>
            <w:tcW w:w="9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41,583</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Third Amended and Restated of Certificate of Incorporation, as amended, the Company’s common stock had a par value of $0.0001 and each share of common stock entitles the holder to one vote on all matters submitted to the stockholders for a vote. The holders of common stock are entitled to receive dividends, if any, as declared by the Company’s Board of Directors (the “Board of Directors”).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previously discussed, in February 2024, the Company issued and sold 22,560,001 shares of its common stock, including 3,360,000 shares pursuant to the exercise of the underwriters’ option to purchase additional shares, at a price to the public of $6.25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Nature of the Business and Basis of Presentation</w:t>
      </w:r>
      <w:r>
        <w:rPr>
          <w:rFonts w:ascii="Times New Roman" w:cs="Times New Roman" w:eastAsia="Times New Roman" w:hAnsi="Times New Roman"/>
          <w:sz w:val="18"/>
          <w:szCs w:val="18"/>
          <w:color w:val="auto"/>
        </w:rPr>
        <w:t>, in February 2024, the Company sold pre-funded warrants to purchase 3,200,005 shares of common stock at a public offering price of $6.24999 per pre-funded warrant, which represents the per share public offering price of each share of common stock less the $0.00001 per share exercise price for each pre-funded warrant. Subject to certain requirements, the pre-funded warrants can be exercised by the holder at anytime. As of June 30, 2024, there have not been any exercises of the pre-funded warrants.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pre-funded warrants meet the definition of an equity instrument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and funds received were recorded as an increase in additional paid-in capital in the condensed consolidated balance sheets. Funds received upon exercise of warrants will be recorded as common stock in the condensed consolidated balance sheets as the exercise price represents the par value of the underlying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November 2023, the Company entered into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“Sales Agreement”) with Jefferies LLC, acting as the Company’s agent and/or principal (the “Sales Agent”), with respect to an “at the market offering” program under which the Company may, from time to time, at its sole discretion, issue and sell shares of its common stock having an aggregate offering price of up to $300.0 million through the Sales Agent. As of June 30, 2024, there have been no sales of common stock pursuant to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2019 Stock Option and Grant Plan (the “2019 Plan”) provides for the Company to grant incentive stock options (“ISO”), non-qualified stock options, unrestricted stock awards, restricted stock awards (“RSA”) and other stock-based awards (collectively, the “Awards”) to the officers, employees, consultants and other key persons of the Company. The 2019 Plan was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2022, in connection with the closing of the Company’s initial public offering (“IPO”), the Board of Directors determined that no further awards would be granted under the 2019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Stock Option and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9, 2022, the Board of Directors adopted, and on October 10, 2022, the Company’s stockholders approved, the 2022 Stock Option and Incentive Plan (the “2022 Plan”), which became effective on October 18, 2022. The 2022 Plan allows the Company to make equity-based and cash-based incentive awards to its officers, employees, directors, and consultants. The 2022 Plan provides for the grant of incentive stock options, non-qualified stock options, stock appreciation rights, restricted stock awards, restricted stock units and other stock-based awards.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2022 Plan and the 2019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2022 Plan. The number of shares reserved and available for issuance under the 2022 Plan increased on January 1, 2023 and will increase on each January 1 hereafter, by five percent of the outstanding number of shares of common stock on the immediately preceding December 31 or such lesser number of shares as determined by the Compensation Committee. On January 1, 2023, the annual increase resulted in an additional 4,868,856 shares authorized being added to the 2022 Plan. As of June 30, 2024, the Company had 21,530,955 shares reserved under the 2022 Plan and the 2019 Plan, and 8,846,990 shares available for issuance under the 2022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9, 2022, the Board of Directors adopted, and on October 10, 2022, the Company’s stockholders approved, the 2022 Employee Stock Purchase Plan (the “2022 ESPP”), which became effective on October 18, 2022.</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2022 ESPP cumulatively increased beginning on January 1, 2023 and shall increase on each January 1 hereafter through January 1, 2032, by the least of (i) 971,350 shares of common stock, (ii) one percent of the outstanding number of shares of common stock on the immediately preceding December 31, or (iii) such number of shares of common stock as determined by the administrator of the 2022 ESPP. There was no annual increase for the 2022 ESPP on January 1, 2024. As of June 30, 2024, the Company had 1,868,212 shares available for issuance under the 2022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 issued 74,488 shares of the Company’s common stock under the 2022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22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37"/>
        </w:trPr>
        <w:tc>
          <w:tcPr>
            <w:tcW w:w="82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
        </w:trPr>
        <w:tc>
          <w:tcPr>
            <w:tcW w:w="8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7"/>
        </w:trPr>
        <w:tc>
          <w:tcPr>
            <w:tcW w:w="8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11,622,235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3,682,315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11,622,235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$52.6 million of total unrecognized compensation cost related to time-based unvested stock options the Company expects to recognize such amount over a remaining weighted-average period of 2.6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performance-based stock option activity for the six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8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90"/>
        </w:trPr>
        <w:tc>
          <w:tcPr>
            <w:tcW w:w="8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13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June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385,208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940"/>
        <w:spacing w:after="0" w:line="438" w:lineRule="auto"/>
        <w:rPr>
          <w:sz w:val="20"/>
          <w:szCs w:val="20"/>
          <w:color w:val="auto"/>
        </w:rPr>
      </w:pPr>
      <w:r>
        <w:rPr>
          <w:rFonts w:ascii="Times New Roman" w:cs="Times New Roman" w:eastAsia="Times New Roman" w:hAnsi="Times New Roman"/>
          <w:sz w:val="18"/>
          <w:szCs w:val="18"/>
          <w:color w:val="auto"/>
        </w:rPr>
        <w:t xml:space="preserve">As of June 30, 2024, there was $4.0 million of total unrecognized compensation cost related to performance-based stock options. </w:t>
      </w:r>
      <w:r>
        <w:rPr>
          <w:rFonts w:ascii="Times New Roman" w:cs="Times New Roman" w:eastAsia="Times New Roman" w:hAnsi="Times New Roman"/>
          <w:sz w:val="18"/>
          <w:szCs w:val="18"/>
          <w:b w:val="1"/>
          <w:bCs w:val="1"/>
          <w:i w:val="1"/>
          <w:iCs w:val="1"/>
          <w:color w:val="auto"/>
        </w:rPr>
        <w:t>Restricted Common Stock Awards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awarded restricted common stock to employees and non-employees under its 2019 Plan. The vesting of these restricted stock awards are time-based or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time-based restricted common stock activity for the six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8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37"/>
        </w:trPr>
        <w:tc>
          <w:tcPr>
            <w:tcW w:w="8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7"/>
        </w:trPr>
        <w:tc>
          <w:tcPr>
            <w:tcW w:w="8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257,334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there was $0.1 million of total unrecognized compensation cost related to unvested time-based restricted common stock which the Company expects to recognize over a weighted-average period of 0.4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performance-based restricted common stock activity for the six months ended June 30,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4"/>
        </w:trPr>
        <w:tc>
          <w:tcPr>
            <w:tcW w:w="822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37"/>
        </w:trPr>
        <w:tc>
          <w:tcPr>
            <w:tcW w:w="82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40"/>
        <w:spacing w:after="0" w:line="438" w:lineRule="auto"/>
        <w:rPr>
          <w:sz w:val="20"/>
          <w:szCs w:val="20"/>
          <w:color w:val="auto"/>
        </w:rPr>
      </w:pPr>
      <w:r>
        <w:rPr>
          <w:rFonts w:ascii="Times New Roman" w:cs="Times New Roman" w:eastAsia="Times New Roman" w:hAnsi="Times New Roman"/>
          <w:sz w:val="18"/>
          <w:szCs w:val="18"/>
          <w:color w:val="auto"/>
        </w:rPr>
        <w:t xml:space="preserve">As of June 30, 2024, there was $0.2 million of total unrecognized compensation cost related to unvested performance-based restricted common stock. </w:t>
      </w:r>
      <w:r>
        <w:rPr>
          <w:rFonts w:ascii="Times New Roman" w:cs="Times New Roman" w:eastAsia="Times New Roman" w:hAnsi="Times New Roman"/>
          <w:sz w:val="18"/>
          <w:szCs w:val="18"/>
          <w:b w:val="1"/>
          <w:bCs w:val="1"/>
          <w:i w:val="1"/>
          <w:iCs w:val="1"/>
          <w:color w:val="auto"/>
        </w:rPr>
        <w:t>Stock-Based Compensation</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below summarizes the classification of the Company’s stock-based compensation expense related to stock options and restricted common stock awards in the condensed consolidated statements of operations and comprehensive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6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Agreements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agreements are disclosed in Note 11,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in the audited consolidated financial statements for the year ended December 31, 2023, and notes thereto, included in the Company’s Annual Report on Form 10-K that was filed with the SEC on March 1, 2024. Since the date of those financial statements, there have been no changes to the Company’s significant agreements.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8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was calculated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(101,088)</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119,188,866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90,467,298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111,827,522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89,769,970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8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5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number of common shares outstanding used in the basic and diluted net loss per share calculations includes the weighted-average effect of pre-funded warrants sold by the Company to purchase 3,200,005 shares of the Company's common stock. The shares of common stock underlying the pre-funded warrants are considered outstanding for the purposes of computing earnings per share, because the shares may be issued for little or no consideration, they are fully vested, and the pre-funded warrants are immediately exercisable upon their issuance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net loss per share available to common stockholders is computed by giving effect to all potentially dilutive common stock equivalents outstanding for the period. For purposes of this calculation, preferred stock, unvested restricted stock and stock options to purchase common stock were considered common stock equivalents but had been excluded from the calculation of diluted net loss per share available to common stockholders as their effect was anti-dilutive.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applicable to common stockholders for the periods indicated because including them would have had an anti-dilutive effect: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Unvested restricted common stock</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anti-dilutive common stock equivalents:</w:t>
      </w:r>
    </w:p>
    <w:p>
      <w:pPr>
        <w:spacing w:after="0" w:line="314"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David Liu</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41910</wp:posOffset>
            </wp:positionV>
            <wp:extent cx="1894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45"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12,007,443</w:t>
      </w:r>
      <w:r>
        <w:rPr>
          <w:sz w:val="20"/>
          <w:szCs w:val="20"/>
          <w:color w:val="auto"/>
        </w:rPr>
        <w:tab/>
      </w:r>
      <w:r>
        <w:rPr>
          <w:rFonts w:ascii="Times New Roman" w:cs="Times New Roman" w:eastAsia="Times New Roman" w:hAnsi="Times New Roman"/>
          <w:sz w:val="18"/>
          <w:szCs w:val="18"/>
          <w:color w:val="auto"/>
        </w:rPr>
        <w:t>7,325,808</w:t>
      </w:r>
    </w:p>
    <w:p>
      <w:pPr>
        <w:spacing w:after="0" w:line="63" w:lineRule="exact"/>
        <w:rPr>
          <w:sz w:val="20"/>
          <w:szCs w:val="20"/>
          <w:color w:val="auto"/>
        </w:rPr>
      </w:pPr>
    </w:p>
    <w:p>
      <w:pPr>
        <w:ind w:left="80"/>
        <w:spacing w:after="0"/>
        <w:tabs>
          <w:tab w:leader="none" w:pos="1600" w:val="left"/>
        </w:tabs>
        <w:rPr>
          <w:sz w:val="20"/>
          <w:szCs w:val="20"/>
          <w:color w:val="auto"/>
        </w:rPr>
      </w:pPr>
      <w:r>
        <w:rPr>
          <w:rFonts w:ascii="Times New Roman" w:cs="Times New Roman" w:eastAsia="Times New Roman" w:hAnsi="Times New Roman"/>
          <w:sz w:val="18"/>
          <w:szCs w:val="18"/>
          <w:color w:val="auto"/>
        </w:rPr>
        <w:t>3,729,877</w:t>
      </w:r>
      <w:r>
        <w:rPr>
          <w:sz w:val="20"/>
          <w:szCs w:val="20"/>
          <w:color w:val="auto"/>
        </w:rPr>
        <w:tab/>
      </w:r>
      <w:r>
        <w:rPr>
          <w:rFonts w:ascii="Times New Roman" w:cs="Times New Roman" w:eastAsia="Times New Roman" w:hAnsi="Times New Roman"/>
          <w:sz w:val="18"/>
          <w:szCs w:val="18"/>
          <w:color w:val="auto"/>
        </w:rPr>
        <w:t>6,140,806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34290</wp:posOffset>
            </wp:positionV>
            <wp:extent cx="1894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7"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7"/>
          <w:szCs w:val="17"/>
          <w:color w:val="auto"/>
        </w:rPr>
        <w:t>15,737,320</w:t>
      </w:r>
      <w:r>
        <w:rPr>
          <w:sz w:val="20"/>
          <w:szCs w:val="20"/>
          <w:color w:val="auto"/>
        </w:rPr>
        <w:tab/>
      </w:r>
      <w:r>
        <w:rPr>
          <w:rFonts w:ascii="Times New Roman" w:cs="Times New Roman" w:eastAsia="Times New Roman" w:hAnsi="Times New Roman"/>
          <w:sz w:val="17"/>
          <w:szCs w:val="17"/>
          <w:color w:val="auto"/>
        </w:rPr>
        <w:t>13,466,614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41910</wp:posOffset>
            </wp:positionV>
            <wp:extent cx="189420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4205" cy="34290"/>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8100" w:space="720"/>
            <w:col w:w="2420"/>
          </w:cols>
          <w:pgMar w:left="320" w:top="1440"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Consulting Agreement dated September 13, 2019 (as may be amended, restated or otherwise modified from time to time in accordance with its terms, the “Consulting Agreement”), between the Company and David Liu, for the three months ended June 30, 2024 and 2023, the Company made payments of $37,500 in each period, and for the six months ended June 30, 2024 and 2023, the Company made payments of $75,000 in each period for scientific consulting and other expenses. As of June 30, 2024 and December 31, 2023, there were no amounts included within accounts payable or accrued expenses.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2024, the Company and David Liu entered into a Second Amendment to the Consulting Agreement, which terminates the Consulting Agreement, effective September 1, 2024. The Consulting Agreement will be terminated in order for Dr. Liu to comply with his obligations as an investigator of Howard Hughes Medical</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Institute. The decision to terminate the Consulting Agreement was not the result of any dispute or disagreement with the Company or the Board of Directors on any matter relating to the operations, policies, or practices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Myeloid Therapeutics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and Myeloid entered into the Myeloid Collaboration Agreement and Myeloid Subscription Agreement during which time the Company and Myeloid had one common board member, who is also an affiliate of Newpath, one of the Company’s holders of common stock. In 2023, the Company terminated the Myeloid Collaboration Agreement.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2024, the Company and Myeloid entered into a settlement agreement resolving two arbitration proceedings, which are described in Note 10, </w:t>
      </w:r>
      <w:r>
        <w:rPr>
          <w:rFonts w:ascii="Times New Roman" w:cs="Times New Roman" w:eastAsia="Times New Roman" w:hAnsi="Times New Roman"/>
          <w:sz w:val="18"/>
          <w:szCs w:val="18"/>
          <w:i w:val="1"/>
          <w:iCs w:val="1"/>
          <w:color w:val="auto"/>
        </w:rPr>
        <w:t>Licenses and Collaboration Agreements</w:t>
      </w:r>
      <w:r>
        <w:rPr>
          <w:rFonts w:ascii="Times New Roman" w:cs="Times New Roman" w:eastAsia="Times New Roman" w:hAnsi="Times New Roman"/>
          <w:sz w:val="18"/>
          <w:szCs w:val="18"/>
          <w:color w:val="auto"/>
        </w:rPr>
        <w:t>, in our Annual Report on Form 10-K for the year ended December 31, 2023, filed with the SEC on March 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the settlement agreement, the parties agreed to resolve and settle all disputes between the parties and release all claims between them relating to the License Agreement and the arbitrations in exchange for the Company's payment to Myeloid of $13.5 million, certain mutual covenants, and other consideration. The settlement was accrued on the Company’s consolidated balance sheet as of December 31, 2023 and paid during the six months ended June 30, 2024. As of June 30, 2024, there were no amounts included within accounts payable or accrued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Services Agreement with Jeffrey Marrazzo</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entered into an advisory services agreement (“Marrazzo Agreement”) with Jeffrey Marrazzo, a member of the Board of Directors. Under the Marrazzo Agreement, Mr. Marrazzo agreed to provide certain professional services to the Company separate from and in addition to his service as a Board member. For his services, the Company agreed to pay Mr. Marrazzo an annual fee of $50,000 per year in addition to the grant of an option to purchase 250,000 shares of the Company’s common stock, which has a grant date fair value of $1.5 million.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the Marrazzo Agreement runs through February 2025 and may be terminated or extended by mutual written agreement. If the Company terminates the Marrazzo Agreement without “Cause,” the administrator of the 2022 Plan will accelerate the vesting of the option such that the pro rata portion of the option will vest and be immediately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2023, filed with the SEC on March 1, 2024. As discussed in the section titled “Special Note Regarding Forward-Looking Statements,” the following discussion and analysis contains forward-looking statements that involve risks and uncertainties, such as statements regarding our plans, objectives, expectations, intentions, or projections, as well as assumptions that, if they never materialize or prove incorrect, could cause our results to differ materially from those discussed in these forward-looking statements. Factors that could cause or contribute to such differences include, but are not limited to, those discussed in the “Risk Factors” section of our Annual Report on Form 10-K for the year ended December 31, 2023. Our historical results are not necessarily indicative of the results that may be expected for any period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biotechnology company committed to delivering a new class of differentiated one-time curative genetic therapies to address the widest spectrum of diseases. We are deploying Prime Editing technology, which we believe is a versatile, precise, and efficient gene editing technology.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maximize the potential of our Prime Editing technology, we have built a diversified portfolio of investigational therapeutic programs organized around core areas of focus: hematology and immunology, liver, lung, ocular, and neuromuscular. We are advancing additional programs as potential partnership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Chronic granulomatous disease is our most advanced blood program, and we are advancing PM359 as our candidate in the treatment of this disease.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Prime Editing programs are well-positioned to leverage the clinical, regulatory, and manufacturing advancements made to date across gene therapy, gene editing, and delivery modalities to accelerate progression to clinical trials and potential approval.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and research of our immediate target indications and our differentiation target indications. These expenses include:</w:t>
      </w:r>
    </w:p>
    <w:p>
      <w:pPr>
        <w:spacing w:after="0" w:line="108"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for employees engaged in manufacturing, research and development functions;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continuing our current research programs and preclinical and clinical development of any product candidates we may identify, including under agreements with third parties, such as consultants and contractors;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and clinical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allocated to acquire in-process research and development, with no alternative future use associated with asset acquisitions or transactions to license intellectual property, such as our Broad License Agreement;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our Pledge to Broad Institute.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Most of our research and development expenses have been related to early stage development activities.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platform and, as such, are not separately classified.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Upfront and milestone payments made are accrued for and expensed when the achievement of the milestone is probable up to the point of regulatory approval. Milestone payments made upon regulatory approval will be capitalized and amortized over the remaining useful life of the related product.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substantially for the foreseeable future with our planned research and development activities related to developing any future product candidates, including investments in manufacturing, as we advance any product candidates we may identify and begin to conduct clinical trials.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personnel-related costs, including stock-based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office and information technology costs; and facilities, depreciation and other general and administrative expenses, which include direct or allocated expenses for rent and maintenance of facilities and utilities.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research and development activities; increased accounting, legal, insurance, and investor and public relations costs as we continue to operate as a public company; and additional intellectual property-related expenses as we file patent applications to protect innovations arising from our research and development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Other income (expense), net primarily consists of interest and other income earned on our short-term investments and the change in the fair value of our short-term investment in Beam Therapeutics Inc. (“Beam”), a related party, in connection with the Beam Collaboration Agreement, which is discussed in greater detail in Note 11,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 to the consolidated financial statements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 supplies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intellectual property fees,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Clinical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6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$8.5 million increase in research and development expense for the three months ended June 30, 2024 as compared to the three months ended June 30, 2023 was primarily driven by:</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increase in facility-related expense primarily due to the expansion and build out of our laboratory space;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increase in personnel expense, including an increase in stock-based compensation expense of $2.1 million, driven by our increased headcount as we continue to build out our research and development function;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in clinical expenses related to PM359, our candidate to treat chronic granulomatous disease.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offset by a $1.7 million decrease in lab supplies driven by fewer programs being in the preclinical stage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$1.9 million increase in general and administrative expense for the three months ended June 30, 2024 as compared to the three months ended June 30, 2023 is primarily driven by $2.8 million increase in personnel expense, including an increase in stock-based compensation expense of $2.5 million, driven by growth in personnel as we operate as a public company and to support our growing research and development function.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offset by a $1.4 million decrease in professional and consultant fees for legal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Short-Term Investment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related party short-term investment for each of the periods presented is a result of Beam’s stock price movement.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31,205</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 supplies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intellectual property fees,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Clinical expense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6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$15.4 million increase in research and development expense for the six months ended June 30, 2024 as compared to the six months ended June 30, 2023 was primarily driven by:</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increase in facility-related expense primarily due to the expansion and build out of our laboratory space;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increase in personnel expense, including an increase in stock-based compensation expense of $3.6 million, driven by our increased headcount as we continue to build out our research and development function;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increase in clinical expenses related to PM359, our candidate to treat chronic granulomatous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$3.9 million increase in general and administrative expense for the six months ended June 30, 2024 as compared to the six months ended June 30, 2023 is primarily driven by $5.6 million increase in personnel expense, including an increase in stock-based compensation expense of $4.4 million, driven by growth in personnel as we operate as a public company and to support our growing research and development function.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offset by a $2.3 million decrease in professional and consultant fees for legal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commence the clinical development of our programs and continue our platform development and early-stage research activities. We have not yet commercialized any products and we do not expect to generate revenue from sales of products for several years, if at all. To date, we have funded our operations primarily with proceeds from sales of preferred stock and from our public offerings. As of June 30, 2024, we had cash, cash equivalents, and investments of $162.9 million, excluding our restricted cash, or $176.4 million, including restricted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substantial losses. As of June 30, 2024, we had an accumulated deficit of $592.4 million and we expect to generate operating losses and negative operating cash flows for the foreseeable future. As stated above, as of June 30, 2024, we maintained cash, cash equivalents, short-term investments, and related party short-term investments of $162.9 million.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205-40, we evaluated whether there are conditions and events, considered in the aggregate, that raise substantial doubt about our ability to continue as a going concern within one year after the date on which this Quarterly Report on Form 10-Q is filed. Based on the our cash, cash equivalents, short-term investments, and related party short-term investments as of June 30, 2024, our current and forecasted level of operations and forecasted cash flows, our ability to continue as a going concern is dependent upon our ability to obtain the necessary financing to meet our obligations and repay our liabilities arising from normal business operations when they come due, and to generate profitable operations in the future. Management plans to provide for capital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requirements through financing or other transactions, and selling shares under our “at the market offering” program. There can be no assurance that we will be able to raise additional capital to fund operations with terms acceptable to us, or at all. Because certain elements of our plans to mitigate the conditions that raised substantial doubt about our ability to continue as a going concern are outside of our control, including the ability to raise capital through an equity or other financing, those elements cannot be considered probable according to ASC 205-40, and therefore cannot be considered in the evaluation of mitigating factors. As a result, we concluded that substantial doubt exists about our ability to continue as a going concern for 12 months from the date these condensed consolidated financial statements are issued.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2024 have been prepared under the assumption that we will continue as a going concern for the next 12 months and that contemplates the realization of assets and satisfaction of liabilities and commitments in the normal course of business. Our ability to continue as a going concern is dependent upon our uncertain ability to obtain additional capital, reduce expenditures and/or execute on its business plan. These condensed consolidated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33020</wp:posOffset>
            </wp:positionV>
            <wp:extent cx="18345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(82,382)</w:t>
            </w:r>
          </w:p>
        </w:tc>
      </w:tr>
      <w:tr>
        <w:trPr>
          <w:trHeight w:val="27"/>
        </w:trPr>
        <w:tc>
          <w:tcPr>
            <w:tcW w:w="8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r>
      <w:tr>
        <w:trPr>
          <w:trHeight w:val="24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157,362</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8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driven primarily by the following uses of cash:</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 million net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 million change in accrued settlement payment — related party;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change in accounts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change in lease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change in accrued expenses and other current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change in prepaid and other current assets.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were offset by $22.8 million of non-cash amounts included in net loss, which primarily consisted of stock-based compensation expense, non-cash lease expense, depreciation and amortization expense, and change in fair value of short-term investment — related party.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driven primarily by the following uses of cash:</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$81.8 million net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change in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change in prepaid and other current assets; and</w:t>
      </w:r>
    </w:p>
    <w:p>
      <w:pPr>
        <w:spacing w:after="0" w:line="171" w:lineRule="exact"/>
        <w:rPr>
          <w:rFonts w:ascii="Times New Roman" w:cs="Times New Roman" w:eastAsia="Times New Roman" w:hAnsi="Times New Roman"/>
          <w:sz w:val="18"/>
          <w:szCs w:val="18"/>
          <w:color w:val="auto"/>
        </w:rPr>
      </w:pPr>
    </w:p>
    <w:p>
      <w:pPr>
        <w:ind w:right="5640" w:firstLine="332"/>
        <w:spacing w:after="0" w:line="438"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change in accrued expenses and other current liabilities. These were offset by:</w:t>
      </w: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million of non-cash amounts included in net loss, which primarily consisted of change in fair value of short-term investment — related party, non-cash lease expense, and stock-based compensation expense;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change in accounts payable.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driven primarily by the following uses of cash:</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 million of purchases of marketable securities, net of maturities;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of purchases of property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2023 was driven primarily by the following:</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million of maturities of marketable securities, net of purchases;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of purchases of property and equipment.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driven primarily by the following:</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$132.1 million of Proceeds from issuances of common stock in the our February 2024 public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of proceeds from issuance of pre-funded warrants contemporaneous with our February 2024 public offering;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of proceeds received under our agreement with Cystic Fibrosis Foundation.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expect to generate revenue from product sales unless and until we successfully complete preclinical and clinical development of, receive regulatory approval for, and commercialize a product candidate and we do not know when, or if at all, that will occur. We expect our expenses to increase substantially in connection with our ongoing activities, particularly as we advance the preclinical activities and studies and initiate clinical trials. In addition, if we obtain regulatory approval for any product candidates, we expect to incur significant expenses related to product sales, marketing, and distribution to the extent that such sales, marketing and distribution are not the responsibility of potential collaborators. Further, we have incurred, and expect to continue to incur, costs associated with operating as a public company. The timing and amount of our operating expenditures will depend largely on the factors set out above. For more information, refer to the section titled “Risk Factors” in our Annual Report on Form 10-K for the year ended December 31, 2023, and the “Risk Factors” section of subsequent Quarterly Reports on Form 10-Q.</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existing cash, cash equivalents, and investments will be sufficient to fund our operating expenses and capital expenditure requirements through the end of the second quarter of 2025. We have based this estimate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assumptions that may prove to be wrong, and we could exhaust our available capital resources sooner than we expect. We expect that we will require additional funding to:</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development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testing and clinical trials for our future product candidates we identify;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Prime Editing platform;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and scientific personnel.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receive regulatory approval for any of our product candidates, we expect to incur significant commercialization expenses related to product manufacturing, sales, marketing and distribution, depending on where we choose to commercialize ourselves.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private and public equity offerings, debt financings, additional collaborations, strategic alliances, and marketing, distribution or licensing arrangements with third parties. To the extent that we raise additional capital through the sale of equity or convertible debt securities,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or distribution or licensing arrangements with third parties, we may have to relinquish valuable rights to our technologies, any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organizations and other vendors to assist in the performance of our research and development activities, and other services and products for operating purposes. These contracts generally provide for termination on notice, and therefore are cancellable contracts and not included in the table of contractual obligations and commitments.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2024, except for the minimum lease commitments disclosed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unaudited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the disclosures of contingent assets and liabilities at the date of the condensed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 judgments about the carrying values of assets and liabilities recorded revenues and expenses that are not readily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apparent from other sources. We evaluate our estimates and assumptions on an ongoing basis. Actual results may differ from these estimates.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to our critical accounting policies and significant judgements described under Management’s Discussion and Analysis of Critical Accounting Policies and Significant Judgments and Estimates which are included in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audited financial statements for the year ended December 31, 2023, and notes thereto, included in our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As a result of this election, our condensed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of our investment portfolio of cash equivalents and investments. As of June 30, 2024, we held cash, cash equivalents, investments, and restricted cash of $176.4 million, which consisted of cash, money market funds, equity securities, and debt securities. Our primary exposure to market risk is interest income sensitivity, which is affected by changes in the general level of U.S. interest rates. The fair value of our cash equivalents, consisted of our money market funds, and investments are subject to change as a result of potential changes in market interest rates. Due to the short-term maturities of our cash equivalents and investments and the low risk profile of our investments, an immediate 10 percent change in interest rates would not have a material effect on the fair market value of our cash equivalents or investments.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costs. Although we do not believe that inflation has had a material impact on our financial position or results of operations to date, we may experience some effect in the near future (especially if inflation rates continue to rise) due to an impact on the costs to conduct research and development, labor costs we incur to attract and retain qualified personnel, and other operational costs. Inflationary costs could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as of June 30, 2024 we were not a party to any litigation or legal proceedings that, in the opinion of our management, are probable to have a material adverse effect on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For a detailed discussion of the risks and uncertainties related to our business, please refer to the section titled “Risk Factors” in our Annual Report on Form 10-K for the year ended December 31, 2023. There have been no material changes from the risk factors set forth in our Annual Report on Form 10-K for the year ended December 31, 2023, except as specified below.</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expect to incur substantial future losses; because our existing cash, cash equivalents, and investments will not be sufficient to fund our operations, as currently planned, for more than one year beyond the filing date of this Quarterly Report on Form 10-Q, we have determined that there is substantial doubt regarding our ability to continue as a going concern.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as of June 30, 2024, we had an accumulated deficit of $592.4 million. To date, we have financed our operations primarily through the proceeds from sales of our preferred stock and from public offerings of our common stock. Substantially all of our losses have resulted from expenses incurred in connection with our research and development and from general and administrative costs associated with our operations. We expect to generate operating losses and negative operating cash flows for the foreseeable future. As of June 30, 2024, we maintain cash, cash equivalents, and investments of $162.9 million.</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existing cash, cash equivalents, short-term investments, and related party short-term investments as of June 30, 2024, our current and forecasted level of operations, and our forecasted cash flows, our ability to continue as a going concern is dependent upon our ability to obtain the necessary financing to meet our obligations and repay our liabilities arising from normal business operations when they come due, and to generate profitable operations in the future. We plan to provide for our capital requirements through financing or other transactions, and selling shares of our common stock under our “at the market offering” program. There can be no assurance that we will be able to raise additional capital to fund operations with terms acceptable to us, or at all. Because our existing cash, cash equivalents, and investments will not be sufficient to fund our operations for more than one year from the date of issuance of the condensed consolidated financial statements appearing in this Quarterly Report on Form 10-Q, we have determined that there is substantial doubt regarding our ability to continue as a going concern.</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shares of equity securities sold, and options granted, by us during the three months ended June 30, 2024 that were not registered under the Securities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November 2023,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“Sales Agreement”) with Jefferies LLC (“Jefferies”) under which we may, from time to time, issue and sell shares of our common stock having aggregate sales proceeds of up to $300.0 million, in a series of one or more at-the-market equity offerings (the “2023 ATM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Program”). Jefferies is not required to sell any specific share amounts but acts as our sales agent, using commercially reasonable efforts consistent with its normal trading and sales practices. We will pay Jefferies a commission equal to 3.0% of the aggregate gross proceeds we receive from each sale of our shares of common stock. Pursuant to the Sales Agreement, any shares will be sold pursuant to our shelf registration statement on Form S-3 (File No. 333-275321) filed with the SEC on November 3, 2023, including the base prospectus contained therein, as declared effective by the SEC on November 13, 2023. Our common stock will be sold at prevailing market prices at the time of the sale, and as a result, prices may vary. As of June 30, 2024, we have not sold any shares of common stock under the 2023 ATM program.</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we issued and sold 22,560,001 shares of our common stock, including 3,360,000 shares pursuant to the exercise of the underwriters’ option to purchase additional shares, at a price to the public of $6.25 per share. Further, in lieu of common stock to certain investors, we sold pre-funded warrants to purchase 3,200,005 shares of common stock at a public offering price of $6.24999 per pre-funded warrant, which represents the per share public offering price of each share of common stock less the $0.00001 per share exercise price for each pre-funded warrant. As a result of the offering, we received approximately $150.9 million in net proceeds, after deducting underwriting discounts, commissions and estimated offering costs of $10.1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jc w:val="right"/>
        <w:ind w:right="994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Exhibit table</w:t>
            </w:r>
          </w:p>
        </w:tc>
      </w:tr>
      <w:tr>
        <w:trPr>
          <w:trHeight w:val="37"/>
        </w:trPr>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6"/>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gridSpan w:val="1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Amended and Restated Certificate of Incorporation of Prime Medicine, Inc. (incorporated by reference to Exhibit 3.1 to the</w:t>
              </w:r>
            </w:hyperlink>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Registrant’s Current Report on Form 8-K, filed with the SEC on October 24, 2022).</w:t>
              </w:r>
            </w:hyperlink>
          </w:p>
        </w:tc>
        <w:tc>
          <w:tcPr>
            <w:tcW w:w="620" w:type="dxa"/>
            <w:vAlign w:val="bottom"/>
            <w:gridSpan w:val="6"/>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Certificate of Amendment to Third Amended and Restated Certificate of Incorporation of Prime Medicine, Inc. (incorporated by</w:t>
              </w:r>
            </w:hyperlink>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reference to Exhibit 3.1 to the Registrant’s Current Report on Form 8-K, filed with the SEC on June 12, 2024).</w:t>
              </w:r>
            </w:hyperlink>
          </w:p>
        </w:tc>
        <w:tc>
          <w:tcPr>
            <w:tcW w:w="700" w:type="dxa"/>
            <w:vAlign w:val="bottom"/>
            <w:gridSpan w:val="7"/>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Second Amended and Restated Bylaws of Prime Medicine, Inc. (incorporated by reference to Exhibit 3.1 to the Registrant’s Current</w:t>
              </w:r>
            </w:hyperlink>
          </w:p>
        </w:tc>
        <w:tc>
          <w:tcPr>
            <w:tcW w:w="42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Report on Form 8-K, filed with the SEC on May 21, 2024).</w:t>
              </w:r>
            </w:hyperlink>
          </w:p>
        </w:tc>
        <w:tc>
          <w:tcPr>
            <w:tcW w:w="5660" w:type="dxa"/>
            <w:vAlign w:val="bottom"/>
            <w:gridSpan w:val="11"/>
          </w:tcPr>
          <w:p>
            <w:pPr>
              <w:spacing w:after="0"/>
              <w:rPr>
                <w:sz w:val="17"/>
                <w:szCs w:val="17"/>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 Compensation Policy</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60" w:type="dxa"/>
            <w:vAlign w:val="bottom"/>
            <w:tcBorders>
              <w:right w:val="single" w:sz="8" w:color="0000FF"/>
            </w:tcBorders>
            <w:gridSpan w:val="2"/>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3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900" w:type="dxa"/>
            <w:vAlign w:val="bottom"/>
            <w:gridSpan w:val="10"/>
          </w:tcPr>
          <w:p>
            <w:pPr>
              <w:spacing w:after="0"/>
              <w:rPr>
                <w:sz w:val="17"/>
                <w:szCs w:val="17"/>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4900" w:type="dxa"/>
            <w:vAlign w:val="bottom"/>
            <w:gridSpan w:val="10"/>
          </w:tcPr>
          <w:p>
            <w:pPr>
              <w:spacing w:after="0"/>
              <w:rPr>
                <w:sz w:val="17"/>
                <w:szCs w:val="17"/>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180" w:type="dxa"/>
            <w:vAlign w:val="bottom"/>
            <w:gridSpan w:val="8"/>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8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r>
      <w:tr>
        <w:trPr>
          <w:trHeight w:val="3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jc w:val="both"/>
        <w:ind w:left="340" w:right="20" w:hanging="332"/>
        <w:spacing w:after="0" w:line="261" w:lineRule="auto"/>
        <w:tabs>
          <w:tab w:leader="none" w:pos="30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and Exhibit 32.2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a management contract or any compensatory plan, contract or arrangement.</w:t>
      </w:r>
    </w:p>
    <w:p>
      <w:pPr>
        <w:spacing w:after="0" w:line="236"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Prime Medicine, Inc.</w:t>
      </w:r>
    </w:p>
    <w:p>
      <w:pPr>
        <w:spacing w:after="0" w:line="324" w:lineRule="exact"/>
        <w:rPr>
          <w:sz w:val="20"/>
          <w:szCs w:val="20"/>
          <w:color w:val="auto"/>
        </w:rPr>
      </w:pPr>
    </w:p>
    <w:p>
      <w:pPr>
        <w:ind w:left="200"/>
        <w:spacing w:after="0"/>
        <w:tabs>
          <w:tab w:leader="none" w:pos="6000" w:val="left"/>
          <w:tab w:leader="none" w:pos="6480" w:val="left"/>
        </w:tabs>
        <w:rPr>
          <w:sz w:val="20"/>
          <w:szCs w:val="20"/>
          <w:color w:val="auto"/>
        </w:rPr>
      </w:pPr>
      <w:r>
        <w:rPr>
          <w:rFonts w:ascii="Times New Roman" w:cs="Times New Roman" w:eastAsia="Times New Roman" w:hAnsi="Times New Roman"/>
          <w:sz w:val="18"/>
          <w:szCs w:val="18"/>
          <w:color w:val="auto"/>
        </w:rPr>
        <w:t>Date: August 08,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Keith Gottesdiener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Keith Gottesdiener</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left="200"/>
        <w:spacing w:after="0"/>
        <w:tabs>
          <w:tab w:leader="none" w:pos="6000" w:val="left"/>
          <w:tab w:leader="none" w:pos="6480" w:val="left"/>
        </w:tabs>
        <w:rPr>
          <w:sz w:val="20"/>
          <w:szCs w:val="20"/>
          <w:color w:val="auto"/>
        </w:rPr>
      </w:pPr>
      <w:r>
        <w:rPr>
          <w:rFonts w:ascii="Times New Roman" w:cs="Times New Roman" w:eastAsia="Times New Roman" w:hAnsi="Times New Roman"/>
          <w:sz w:val="18"/>
          <w:szCs w:val="18"/>
          <w:color w:val="auto"/>
        </w:rPr>
        <w:t>Date: August 08,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30175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Allan Reine</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5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PRIME MEDICINE,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3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purpose of this Amended and Restated Non-Employee Director Compensation Policy (as amended from time to time,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Prime Medicine,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long-term basis, high-caliber directors who are not employees or officers of the Company or its subsidiaries (“</w:t>
      </w:r>
      <w:r>
        <w:rPr>
          <w:rFonts w:ascii="Times New Roman" w:cs="Times New Roman" w:eastAsia="Times New Roman" w:hAnsi="Times New Roman"/>
          <w:sz w:val="22"/>
          <w:szCs w:val="22"/>
          <w:u w:val="single" w:color="auto"/>
          <w:color w:val="auto"/>
        </w:rPr>
        <w:t>Outside Directors</w:t>
      </w:r>
      <w:r>
        <w:rPr>
          <w:rFonts w:ascii="Times New Roman" w:cs="Times New Roman" w:eastAsia="Times New Roman" w:hAnsi="Times New Roman"/>
          <w:sz w:val="22"/>
          <w:szCs w:val="22"/>
          <w:color w:val="auto"/>
        </w:rPr>
        <w:t>”). This Policy became effective as of October 19,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In furtherance of the purpose stated above, all Outside Directors shall be paid compensation for services provided to the Company as set forth below:</w:t>
      </w:r>
    </w:p>
    <w:p>
      <w:pPr>
        <w:spacing w:after="0" w:line="69" w:lineRule="exact"/>
        <w:rPr>
          <w:sz w:val="20"/>
          <w:szCs w:val="20"/>
          <w:color w:val="auto"/>
        </w:rPr>
      </w:pPr>
    </w:p>
    <w:p>
      <w:pPr>
        <w:ind w:left="800" w:hanging="306"/>
        <w:spacing w:after="0"/>
        <w:tabs>
          <w:tab w:leader="none" w:pos="8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Cash Retainers</w:t>
      </w:r>
    </w:p>
    <w:p>
      <w:pPr>
        <w:spacing w:after="0" w:line="115" w:lineRule="exact"/>
        <w:rPr>
          <w:rFonts w:ascii="Times New Roman" w:cs="Times New Roman" w:eastAsia="Times New Roman" w:hAnsi="Times New Roman"/>
          <w:sz w:val="22"/>
          <w:szCs w:val="22"/>
          <w:b w:val="1"/>
          <w:bCs w:val="1"/>
          <w:color w:val="auto"/>
        </w:rPr>
      </w:pPr>
    </w:p>
    <w:p>
      <w:pPr>
        <w:jc w:val="both"/>
        <w:ind w:firstLine="656"/>
        <w:spacing w:after="0" w:line="256" w:lineRule="auto"/>
        <w:tabs>
          <w:tab w:leader="none" w:pos="128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$45,000 for general availability and participation in meetings and conference calls of our Board of Directors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to be paid quarterly in arrears, pro-rated based on the number of actual days served by the director during such calendar quarter. No additional compensation will be paid for attending individual meetings of the Board of Directors.</w:t>
      </w:r>
    </w:p>
    <w:p>
      <w:pPr>
        <w:spacing w:after="0" w:line="6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Chairperson: $30,000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 Committee Chairperson: $20,000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 Committee member: $10,000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Committee Chairperson: $15,000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Compensation Committee member: $7,500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Chairperson: $10,000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 $5,000</w:t>
      </w:r>
    </w:p>
    <w:p>
      <w:pPr>
        <w:spacing w:after="0" w:line="1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Chairperson and committee member retainers are in addition to retainers for members of the Board of Directors. No additional compensation will be paid for attending individual committee meetings of the Board of Directors.</w:t>
      </w:r>
    </w:p>
    <w:p>
      <w:pPr>
        <w:spacing w:after="0" w:line="46" w:lineRule="exact"/>
        <w:rPr>
          <w:sz w:val="20"/>
          <w:szCs w:val="20"/>
          <w:color w:val="auto"/>
        </w:rPr>
      </w:pPr>
    </w:p>
    <w:p>
      <w:pPr>
        <w:ind w:left="820" w:hanging="488"/>
        <w:spacing w:after="0"/>
        <w:tabs>
          <w:tab w:leader="none" w:pos="82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Retainers</w:t>
      </w:r>
    </w:p>
    <w:p>
      <w:pPr>
        <w:spacing w:after="0" w:line="11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63" w:lineRule="exact"/>
        <w:rPr>
          <w:sz w:val="20"/>
          <w:szCs w:val="20"/>
          <w:color w:val="auto"/>
        </w:rPr>
      </w:pPr>
    </w:p>
    <w:p>
      <w:pPr>
        <w:jc w:val="both"/>
        <w:ind w:firstLine="656"/>
        <w:spacing w:after="0" w:line="251" w:lineRule="auto"/>
        <w:tabs>
          <w:tab w:leader="none" w:pos="12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(i) any award of stock options the grant date fair value of the option (i.e., Black-Scholes Value) determined in accordance with the reasonable assumptions and methodologies employed by the Company for calculating the fair value of options under Financial Accounting Standard Board Accounting Standards Codification Topic 718 (“</w:t>
      </w:r>
      <w:r>
        <w:rPr>
          <w:rFonts w:ascii="Times New Roman" w:cs="Times New Roman" w:eastAsia="Times New Roman" w:hAnsi="Times New Roman"/>
          <w:sz w:val="22"/>
          <w:szCs w:val="22"/>
          <w:u w:val="single" w:color="auto"/>
          <w:color w:val="auto"/>
        </w:rPr>
        <w:t>ASC Topic 718</w:t>
      </w:r>
      <w:r>
        <w:rPr>
          <w:rFonts w:ascii="Times New Roman" w:cs="Times New Roman" w:eastAsia="Times New Roman" w:hAnsi="Times New Roman"/>
          <w:sz w:val="22"/>
          <w:szCs w:val="22"/>
          <w:color w:val="auto"/>
        </w:rPr>
        <w:t>”); and (ii) any award of restricted stock and restricted stock units the product of (A) the closing market price on the NASDAQ (or such other market on which the Company’s Common Stock is then principally listed) of one share of the</w:t>
      </w:r>
    </w:p>
    <w:p>
      <w:pPr>
        <w:sectPr>
          <w:pgSz w:w="11900" w:h="16838" w:orient="portrait"/>
          <w:cols w:equalWidth="0" w:num="1">
            <w:col w:w="11240"/>
          </w:cols>
          <w:pgMar w:left="320" w:top="122" w:right="339" w:bottom="1440" w:gutter="0" w:footer="0" w:header="0"/>
        </w:sectPr>
      </w:pPr>
    </w:p>
    <w:bookmarkStart w:id="37" w:name="page38"/>
    <w:bookmarkEnd w:id="37"/>
    <w:p>
      <w:pPr>
        <w:spacing w:after="0" w:line="9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1"/>
          <w:szCs w:val="21"/>
          <w:color w:val="auto"/>
        </w:rPr>
        <w:t>Company’s Common Stock on the effective date of grant, or if no closing price is reported for such date, the closing price on the immediately preceding date for which a closing price is reported and (B) the aggregate number of shares pursuant to such award.</w:t>
      </w:r>
    </w:p>
    <w:p>
      <w:pPr>
        <w:spacing w:after="0" w:line="27" w:lineRule="exact"/>
        <w:rPr>
          <w:sz w:val="20"/>
          <w:szCs w:val="20"/>
          <w:color w:val="auto"/>
        </w:rPr>
      </w:pPr>
    </w:p>
    <w:p>
      <w:pPr>
        <w:jc w:val="both"/>
        <w:ind w:right="20" w:firstLine="656"/>
        <w:spacing w:after="0" w:line="263"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Revisions</w:t>
      </w:r>
      <w:r>
        <w:rPr>
          <w:rFonts w:ascii="Times New Roman" w:cs="Times New Roman" w:eastAsia="Times New Roman" w:hAnsi="Times New Roman"/>
          <w:sz w:val="22"/>
          <w:szCs w:val="22"/>
          <w:color w:val="auto"/>
        </w:rPr>
        <w:t>. The Board of Directors, in its discretion, may change and otherwise revise the terms of awards to be granted under this Policy, including, without limitation, the number of shares subject thereto, for awards of the same or different type granted on or after the date the Board of Directors determines to make any such change or revision.</w:t>
      </w:r>
    </w:p>
    <w:p>
      <w:pPr>
        <w:spacing w:after="0" w:line="59"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8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In the event of a Sale Event (as defined in the Company’s 2022 Stock Option and Incentive Plan (as amended from time to time, the “</w:t>
      </w:r>
      <w:r>
        <w:rPr>
          <w:rFonts w:ascii="Times New Roman" w:cs="Times New Roman" w:eastAsia="Times New Roman" w:hAnsi="Times New Roman"/>
          <w:sz w:val="22"/>
          <w:szCs w:val="22"/>
          <w:u w:val="single" w:color="auto"/>
          <w:color w:val="auto"/>
        </w:rPr>
        <w:t>2022 Plan</w:t>
      </w:r>
      <w:r>
        <w:rPr>
          <w:rFonts w:ascii="Times New Roman" w:cs="Times New Roman" w:eastAsia="Times New Roman" w:hAnsi="Times New Roman"/>
          <w:sz w:val="22"/>
          <w:szCs w:val="22"/>
          <w:color w:val="auto"/>
        </w:rPr>
        <w:t>”)), the equity retainer awards granted to Outside Directors pursuant to this Policy shall become 100% vested and exercisable.</w:t>
      </w:r>
    </w:p>
    <w:p>
      <w:pPr>
        <w:spacing w:after="0" w:line="7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Upon initial election to the Board of Directors, each new Outside Director will receive an initial, one-time grant of a non-statutory stock option (the “</w:t>
      </w: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with a Value of $800,000; provided, that the maximum number of shares of Company Common Stock subject to each such option shall be 90,000 shares, with an exercise price per share equal to the closing price of a share of the Company’s Common Stock on the date of grant and a term of ten years, that vests in three equal annual installments over three years; provided, however, that all vesting ceases if the director resigns from the Board of Directors or otherwise ceases to serve as a director, unless the Board of Directors determines that the circumstances warrant continuation of vesting. This Initial Grant applies to Outside Directors who are first elected to the Board of Directors subsequent to the Effective Date.</w:t>
      </w:r>
    </w:p>
    <w:p>
      <w:pPr>
        <w:spacing w:after="0" w:line="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8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On the date of each Annual Meeting of Stockholders of the Company following the Effective Date (the “</w:t>
      </w:r>
      <w:r>
        <w:rPr>
          <w:rFonts w:ascii="Times New Roman" w:cs="Times New Roman" w:eastAsia="Times New Roman" w:hAnsi="Times New Roman"/>
          <w:sz w:val="22"/>
          <w:szCs w:val="22"/>
          <w:u w:val="single" w:color="auto"/>
          <w:color w:val="auto"/>
        </w:rPr>
        <w:t>Annual Meeting of Stockholders</w:t>
      </w:r>
      <w:r>
        <w:rPr>
          <w:rFonts w:ascii="Times New Roman" w:cs="Times New Roman" w:eastAsia="Times New Roman" w:hAnsi="Times New Roman"/>
          <w:sz w:val="22"/>
          <w:szCs w:val="22"/>
          <w:color w:val="auto"/>
        </w:rPr>
        <w:t>”), each continuing Outside Director, other than a director receiving an Initial Grant, will receive an annual grant of a non-statutory stock option on the date of such Annual Meeting of Stockholders (the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 with a Value of $400,000; provided that the maximum number of shares of Company Common Stock subject to each such option shall be 45,000 shares, with an exercise price per share equal to the closing price of a share of the Company’s Common Stock on the date of grant and a term of ten years, that vests in full on the earlier of (i) the one-year anniversary of the grant date or (ii) the next Annual Meeting of Stockholders; provided, however, that all vesting ceases if the director resigns from the Board of Directors or otherwise ceases to serve as a director, unless the Board of Directors determines that the circumstances warrant continuation of vesting. In addition, all vested options remain exercisable for twelve (12) months if the director resigns from the Board of Directors or otherwise ceases to serve as a director. Notwithstanding the foregoing, if an Outside Director was initially elected to the Board of Directors within twelve (12) months preceding the Annual Meeting, then such Outside Director shall receive Annual Award that is pro-rated on a monthly basis for time serving as an Outside Director. Such Annual Award shall expire ten (10) years from the date of grant, and shall have a per share exercise price equal to the Fair Market Value (as defined in the Plan) of the Company’s Common Stock on the date of grant.</w:t>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ind w:left="820" w:hanging="488"/>
        <w:spacing w:after="0"/>
        <w:tabs>
          <w:tab w:leader="none" w:pos="82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Expenses</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59" w:lineRule="exact"/>
        <w:rPr>
          <w:sz w:val="20"/>
          <w:szCs w:val="20"/>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Maximum Annual Compensation</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to any Outside Director in a calendar year period for services as an Outside Director shall not exceed (i) $1,600,000 in the first calendar year an individual becomes an Outside Director and (ii) $1,000,000 in any other year (or in each case, such other limits as may be set forth in Section 3(b) of the 2022 Plan or any similar provision of a successor plan). For this purpose, the “amount” of equity compensation paid in a calendar year shall be determined based on the grant date fair value thereof, as determined in accordance with ASC Topic 718 or its successor provision, but excluding the impact of estimated forfeitures related to service-based vesting conditions.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Policy Approved</w:t>
      </w:r>
      <w:r>
        <w:rPr>
          <w:rFonts w:ascii="Times New Roman" w:cs="Times New Roman" w:eastAsia="Times New Roman" w:hAnsi="Times New Roman"/>
          <w:sz w:val="22"/>
          <w:szCs w:val="22"/>
          <w:color w:val="auto"/>
        </w:rPr>
        <w:t>: May 9,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Policy Amended</w:t>
      </w:r>
      <w:r>
        <w:rPr>
          <w:rFonts w:ascii="Times New Roman" w:cs="Times New Roman" w:eastAsia="Times New Roman" w:hAnsi="Times New Roman"/>
          <w:sz w:val="22"/>
          <w:szCs w:val="22"/>
          <w:color w:val="auto"/>
        </w:rPr>
        <w:t>: ______, 2024</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Gottesdiener,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Prime Medicine,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77" w:lineRule="exact"/>
        <w:rPr>
          <w:sz w:val="20"/>
          <w:szCs w:val="20"/>
          <w:color w:val="auto"/>
        </w:rPr>
      </w:pPr>
    </w:p>
    <w:p>
      <w:pPr>
        <w:ind w:left="604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Gottesdiener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43180</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6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Keith Gottesdiener</w:t>
      </w:r>
    </w:p>
    <w:p>
      <w:pPr>
        <w:spacing w:after="0" w:line="7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Allan Reine,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Prime Medicine,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77" w:lineRule="exact"/>
        <w:rPr>
          <w:sz w:val="20"/>
          <w:szCs w:val="20"/>
          <w:color w:val="auto"/>
        </w:rPr>
      </w:pPr>
    </w:p>
    <w:p>
      <w:pPr>
        <w:ind w:left="604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43180</wp:posOffset>
            </wp:positionV>
            <wp:extent cx="2820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Allan Reine</w:t>
      </w:r>
    </w:p>
    <w:p>
      <w:pPr>
        <w:spacing w:after="0" w:line="7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ind w:right="200"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Prime Medicine, Inc. (the “Company”) on Form 10-Q for the period ended June 30, 2024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77" w:lineRule="exact"/>
        <w:rPr>
          <w:sz w:val="20"/>
          <w:szCs w:val="20"/>
          <w:color w:val="auto"/>
        </w:rPr>
      </w:pPr>
    </w:p>
    <w:p>
      <w:pPr>
        <w:ind w:left="54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Gottesdiener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43180</wp:posOffset>
            </wp:positionV>
            <wp:extent cx="32829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Keith Gottesdiener</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Prime Medicine, Inc. (the “Company”) on Form 10-Q for the period ended June 30, 2024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77" w:lineRule="exact"/>
        <w:rPr>
          <w:sz w:val="20"/>
          <w:szCs w:val="20"/>
          <w:color w:val="auto"/>
        </w:rPr>
      </w:pPr>
    </w:p>
    <w:p>
      <w:pPr>
        <w:ind w:left="540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43180</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Allan Reine</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1."/>
      <w:numFmt w:val="decimal"/>
      <w:start w:val="3"/>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upperLetter"/>
      <w:start w:val="9"/>
    </w:lvl>
    <w:lvl w:ilvl="1">
      <w:lvlJc w:val="left"/>
      <w:lvlText w:val="%2."/>
      <w:numFmt w:val="lowerLetter"/>
      <w:start w:val="1"/>
    </w:lvl>
  </w:abstractNum>
  <w:abstractNum w:abstractNumId="28">
    <w:nsid w:val="3006C83E"/>
    <w:multiLevelType w:val="hybridMultilevel"/>
    <w:lvl w:ilvl="0">
      <w:lvlJc w:val="left"/>
      <w:lvlText w:val="%1."/>
      <w:numFmt w:val="upperLetter"/>
      <w:start w:val="35"/>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upperLetter"/>
      <w:start w:val="6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5"/>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5"/>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6" Type="http://schemas.openxmlformats.org/officeDocument/2006/relationships/hyperlink" Target="https://www.sec.gov/Archives/edgar/data/1894562/000162828022026895/exhibit31-closing8xk.htm" TargetMode="External"/><Relationship Id="rId57" Type="http://schemas.openxmlformats.org/officeDocument/2006/relationships/hyperlink" Target="https://www.sec.gov/Archives/edgar/data/1894562/000162828024027816/a06-12x2024xofficerexculpa.htm" TargetMode="External"/><Relationship Id="rId58" Type="http://schemas.openxmlformats.org/officeDocument/2006/relationships/hyperlink" Target="https://www.sec.gov/Archives/edgar/data/1894562/000162828024024530/a05-21x2024xamendedao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2024-08-08T07:31:57Z</dcterms:created>
  <dcterms:modified xsi:type="dcterms:W3CDTF">2024-08-08T07:31:57Z</dcterms:modified>
</cp:coreProperties>
</file>